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4074D0" w14:textId="77777777" w:rsidR="00ED4D1E" w:rsidRPr="00ED4D1E" w:rsidRDefault="00ED4D1E" w:rsidP="00ED4D1E">
      <w:pPr>
        <w:jc w:val="center"/>
        <w:rPr>
          <w:b/>
          <w:sz w:val="26"/>
          <w:szCs w:val="26"/>
          <w:lang w:val="en-GB"/>
        </w:rPr>
      </w:pPr>
      <w:r w:rsidRPr="00ED4D1E">
        <w:rPr>
          <w:b/>
          <w:sz w:val="26"/>
          <w:szCs w:val="26"/>
          <w:lang w:val="en-GB"/>
        </w:rPr>
        <w:t>SUPPLEMENTARY MATERIAL</w:t>
      </w:r>
    </w:p>
    <w:p w14:paraId="09CE5191" w14:textId="77777777" w:rsidR="00ED4D1E" w:rsidRDefault="00ED4D1E" w:rsidP="00ED4D1E">
      <w:pPr>
        <w:jc w:val="center"/>
        <w:rPr>
          <w:b/>
          <w:lang w:val="en-GB"/>
        </w:rPr>
      </w:pPr>
    </w:p>
    <w:p w14:paraId="4B1BE0D9" w14:textId="76A77DAD" w:rsidR="00ED4D1E" w:rsidRPr="00ED4D1E" w:rsidRDefault="00ED4D1E" w:rsidP="00ED4D1E">
      <w:pPr>
        <w:jc w:val="center"/>
        <w:rPr>
          <w:b/>
          <w:sz w:val="26"/>
          <w:szCs w:val="26"/>
          <w:lang w:val="en-GB"/>
        </w:rPr>
      </w:pPr>
      <w:r w:rsidRPr="00ED4D1E">
        <w:rPr>
          <w:b/>
          <w:bCs/>
          <w:sz w:val="26"/>
          <w:szCs w:val="26"/>
          <w:lang w:val="en-US"/>
        </w:rPr>
        <w:t xml:space="preserve">Lethal and sublethal toxicity of sulfoxaflor on the coccinellid </w:t>
      </w:r>
      <w:r w:rsidRPr="00ED4D1E">
        <w:rPr>
          <w:b/>
          <w:bCs/>
          <w:i/>
          <w:iCs/>
          <w:sz w:val="26"/>
          <w:szCs w:val="26"/>
          <w:lang w:val="en-US"/>
        </w:rPr>
        <w:t xml:space="preserve">Adalia bipunctata </w:t>
      </w:r>
      <w:r w:rsidRPr="00ED4D1E">
        <w:rPr>
          <w:b/>
          <w:bCs/>
          <w:sz w:val="26"/>
          <w:szCs w:val="26"/>
          <w:lang w:val="en-US"/>
        </w:rPr>
        <w:t>(L.)</w:t>
      </w:r>
    </w:p>
    <w:p w14:paraId="078DAF04" w14:textId="42FDAE4B" w:rsidR="00ED4D1E" w:rsidRDefault="00ED4D1E" w:rsidP="00ED4D1E">
      <w:pPr>
        <w:jc w:val="center"/>
        <w:rPr>
          <w:b/>
          <w:sz w:val="20"/>
          <w:szCs w:val="20"/>
          <w:lang w:val="en-GB"/>
        </w:rPr>
      </w:pPr>
    </w:p>
    <w:p w14:paraId="19145089" w14:textId="3B6250B7" w:rsidR="00AB012C" w:rsidRDefault="00AB012C" w:rsidP="00ED4D1E">
      <w:pPr>
        <w:jc w:val="center"/>
        <w:rPr>
          <w:b/>
          <w:sz w:val="20"/>
          <w:szCs w:val="20"/>
          <w:lang w:val="en-GB"/>
        </w:rPr>
      </w:pPr>
    </w:p>
    <w:p w14:paraId="45BF581E" w14:textId="77777777" w:rsidR="00AB012C" w:rsidRPr="00AB012C" w:rsidRDefault="00AB012C" w:rsidP="00ED4D1E">
      <w:pPr>
        <w:jc w:val="center"/>
        <w:rPr>
          <w:b/>
          <w:sz w:val="20"/>
          <w:szCs w:val="20"/>
          <w:lang w:val="en-GB"/>
        </w:rPr>
      </w:pPr>
    </w:p>
    <w:p w14:paraId="617FD92F" w14:textId="77777777" w:rsidR="00ED4D1E" w:rsidRPr="00AB012C" w:rsidRDefault="00ED4D1E" w:rsidP="00AB012C">
      <w:pPr>
        <w:jc w:val="center"/>
        <w:rPr>
          <w:b/>
          <w:sz w:val="20"/>
          <w:szCs w:val="20"/>
          <w:lang w:val="en-US"/>
        </w:rPr>
      </w:pPr>
      <w:r w:rsidRPr="00AB012C">
        <w:rPr>
          <w:b/>
          <w:sz w:val="20"/>
          <w:szCs w:val="20"/>
          <w:lang w:val="en-US"/>
        </w:rPr>
        <w:t>Supplementary Material and Methods</w:t>
      </w:r>
    </w:p>
    <w:p w14:paraId="00BBCAC7" w14:textId="77777777" w:rsidR="004C199E" w:rsidRPr="00ED4D1E" w:rsidRDefault="004C199E">
      <w:pPr>
        <w:rPr>
          <w:lang w:val="en-US"/>
        </w:rPr>
      </w:pPr>
    </w:p>
    <w:p w14:paraId="3F5EDA95" w14:textId="77777777" w:rsidR="00ED4D1E" w:rsidRPr="00FA0E54" w:rsidRDefault="00ED4D1E" w:rsidP="00D12F5C">
      <w:pPr>
        <w:spacing w:line="360" w:lineRule="auto"/>
        <w:rPr>
          <w:b/>
          <w:sz w:val="20"/>
          <w:szCs w:val="20"/>
          <w:lang w:val="en-GB"/>
        </w:rPr>
      </w:pPr>
      <w:r w:rsidRPr="00FA0E54">
        <w:rPr>
          <w:b/>
          <w:sz w:val="20"/>
          <w:szCs w:val="20"/>
          <w:lang w:val="en-GB"/>
        </w:rPr>
        <w:t>Demographic analyses</w:t>
      </w:r>
    </w:p>
    <w:p w14:paraId="34F45900" w14:textId="36FBD1FC" w:rsidR="00ED4D1E" w:rsidRPr="00FA0E54" w:rsidRDefault="00ED4D1E" w:rsidP="00D12F5C">
      <w:pPr>
        <w:spacing w:line="360" w:lineRule="auto"/>
        <w:rPr>
          <w:sz w:val="20"/>
          <w:szCs w:val="20"/>
          <w:lang w:val="en-US"/>
        </w:rPr>
      </w:pPr>
      <w:r w:rsidRPr="00FA0E54">
        <w:rPr>
          <w:sz w:val="20"/>
          <w:szCs w:val="20"/>
          <w:lang w:val="en-US"/>
        </w:rPr>
        <w:t>In each treatment, age-specific survivorship (</w:t>
      </w:r>
      <w:r w:rsidRPr="00FA0E54">
        <w:rPr>
          <w:i/>
          <w:sz w:val="20"/>
          <w:szCs w:val="20"/>
          <w:lang w:val="en-US"/>
        </w:rPr>
        <w:t>l</w:t>
      </w:r>
      <w:r w:rsidRPr="00FA0E54">
        <w:rPr>
          <w:i/>
          <w:sz w:val="20"/>
          <w:szCs w:val="20"/>
          <w:vertAlign w:val="subscript"/>
          <w:lang w:val="en-US"/>
        </w:rPr>
        <w:t>x</w:t>
      </w:r>
      <w:r w:rsidRPr="00FA0E54">
        <w:rPr>
          <w:sz w:val="20"/>
          <w:szCs w:val="20"/>
          <w:lang w:val="en-US"/>
        </w:rPr>
        <w:t>) was estimated from data on immature development and survival as well as daily schedules of adult mortality, whereas age-specific fecundity (</w:t>
      </w:r>
      <w:r w:rsidRPr="00FA0E54">
        <w:rPr>
          <w:i/>
          <w:sz w:val="20"/>
          <w:szCs w:val="20"/>
          <w:lang w:val="en-US"/>
        </w:rPr>
        <w:t>m</w:t>
      </w:r>
      <w:r w:rsidRPr="00FA0E54">
        <w:rPr>
          <w:i/>
          <w:sz w:val="20"/>
          <w:szCs w:val="20"/>
          <w:vertAlign w:val="subscript"/>
          <w:lang w:val="en-US"/>
        </w:rPr>
        <w:t>x</w:t>
      </w:r>
      <w:r w:rsidRPr="00FA0E54">
        <w:rPr>
          <w:sz w:val="20"/>
          <w:szCs w:val="20"/>
          <w:lang w:val="en-US"/>
        </w:rPr>
        <w:t xml:space="preserve">) was derived from </w:t>
      </w:r>
      <w:r w:rsidRPr="00FA0E54">
        <w:rPr>
          <w:sz w:val="20"/>
          <w:szCs w:val="20"/>
          <w:lang w:val="en-GB"/>
        </w:rPr>
        <w:t>the number of eggs laid by each female. Age-specific survivorship (</w:t>
      </w:r>
      <w:r w:rsidRPr="00FA0E54">
        <w:rPr>
          <w:i/>
          <w:sz w:val="20"/>
          <w:szCs w:val="20"/>
          <w:lang w:val="en-GB"/>
        </w:rPr>
        <w:t>l</w:t>
      </w:r>
      <w:r w:rsidRPr="00FA0E54">
        <w:rPr>
          <w:i/>
          <w:sz w:val="20"/>
          <w:szCs w:val="20"/>
          <w:vertAlign w:val="subscript"/>
          <w:lang w:val="en-GB"/>
        </w:rPr>
        <w:t>x</w:t>
      </w:r>
      <w:r w:rsidRPr="00FA0E54">
        <w:rPr>
          <w:sz w:val="20"/>
          <w:szCs w:val="20"/>
          <w:lang w:val="en-GB"/>
        </w:rPr>
        <w:t>) and fecundity (</w:t>
      </w:r>
      <w:r w:rsidRPr="00FA0E54">
        <w:rPr>
          <w:i/>
          <w:sz w:val="20"/>
          <w:szCs w:val="20"/>
          <w:lang w:val="en-GB"/>
        </w:rPr>
        <w:t>m</w:t>
      </w:r>
      <w:r w:rsidRPr="00FA0E54">
        <w:rPr>
          <w:i/>
          <w:sz w:val="20"/>
          <w:szCs w:val="20"/>
          <w:vertAlign w:val="subscript"/>
          <w:lang w:val="en-GB"/>
        </w:rPr>
        <w:t>x</w:t>
      </w:r>
      <w:r w:rsidRPr="00FA0E54">
        <w:rPr>
          <w:sz w:val="20"/>
          <w:szCs w:val="20"/>
          <w:lang w:val="en-GB"/>
        </w:rPr>
        <w:t xml:space="preserve">) schedules were used to construct a </w:t>
      </w:r>
      <w:r w:rsidRPr="00FA0E54">
        <w:rPr>
          <w:i/>
          <w:sz w:val="20"/>
          <w:szCs w:val="20"/>
          <w:lang w:val="en-GB"/>
        </w:rPr>
        <w:t>z</w:t>
      </w:r>
      <w:r w:rsidRPr="00FA0E54">
        <w:rPr>
          <w:sz w:val="20"/>
          <w:szCs w:val="20"/>
          <w:lang w:val="en-GB"/>
        </w:rPr>
        <w:t>×</w:t>
      </w:r>
      <w:r w:rsidRPr="00FA0E54">
        <w:rPr>
          <w:i/>
          <w:sz w:val="20"/>
          <w:szCs w:val="20"/>
          <w:lang w:val="en-GB"/>
        </w:rPr>
        <w:t>z</w:t>
      </w:r>
      <w:r w:rsidRPr="00FA0E54">
        <w:rPr>
          <w:sz w:val="20"/>
          <w:szCs w:val="20"/>
          <w:lang w:val="en-GB"/>
        </w:rPr>
        <w:t xml:space="preserve"> age-classifie</w:t>
      </w:r>
      <w:r w:rsidR="004630ED">
        <w:rPr>
          <w:sz w:val="20"/>
          <w:szCs w:val="20"/>
          <w:lang w:val="en-GB"/>
        </w:rPr>
        <w:t>d population projection matrix</w:t>
      </w:r>
      <w:r w:rsidRPr="00FA0E54">
        <w:rPr>
          <w:sz w:val="20"/>
          <w:szCs w:val="20"/>
          <w:lang w:val="en-GB"/>
        </w:rPr>
        <w:t xml:space="preserve"> </w:t>
      </w:r>
      <w:r w:rsidRPr="00FA0E54">
        <w:rPr>
          <w:b/>
          <w:sz w:val="20"/>
          <w:szCs w:val="20"/>
          <w:lang w:val="en-GB"/>
        </w:rPr>
        <w:t>A</w:t>
      </w:r>
      <w:r w:rsidRPr="00FA0E54">
        <w:rPr>
          <w:sz w:val="20"/>
          <w:szCs w:val="20"/>
          <w:lang w:val="en-GB"/>
        </w:rPr>
        <w:t xml:space="preserve"> (standard Leslie matrix) with a projection interval of one day.</w:t>
      </w:r>
    </w:p>
    <w:p w14:paraId="1D073642" w14:textId="77777777" w:rsidR="00ED4D1E" w:rsidRPr="00FA0E54" w:rsidRDefault="00ED4D1E" w:rsidP="00D12F5C">
      <w:pPr>
        <w:spacing w:line="360" w:lineRule="auto"/>
        <w:rPr>
          <w:sz w:val="20"/>
          <w:szCs w:val="20"/>
          <w:lang w:val="en-GB"/>
        </w:rPr>
      </w:pPr>
      <w:r w:rsidRPr="00FA0E54">
        <w:rPr>
          <w:noProof/>
          <w:sz w:val="20"/>
          <w:szCs w:val="20"/>
        </w:rPr>
        <w:drawing>
          <wp:inline distT="0" distB="0" distL="0" distR="0" wp14:anchorId="3F85030C" wp14:editId="6CD2C118">
            <wp:extent cx="1880870" cy="1155700"/>
            <wp:effectExtent l="0" t="0" r="5080" b="635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0870" cy="1155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A0E54">
        <w:rPr>
          <w:sz w:val="20"/>
          <w:szCs w:val="20"/>
          <w:lang w:val="en-GB"/>
        </w:rPr>
        <w:tab/>
      </w:r>
      <w:r w:rsidRPr="00FA0E54">
        <w:rPr>
          <w:sz w:val="20"/>
          <w:szCs w:val="20"/>
          <w:lang w:val="en-GB"/>
        </w:rPr>
        <w:tab/>
      </w:r>
      <w:r w:rsidRPr="00FA0E54">
        <w:rPr>
          <w:sz w:val="20"/>
          <w:szCs w:val="20"/>
          <w:lang w:val="en-GB"/>
        </w:rPr>
        <w:tab/>
      </w:r>
      <w:r w:rsidRPr="00FA0E54">
        <w:rPr>
          <w:sz w:val="20"/>
          <w:szCs w:val="20"/>
          <w:lang w:val="en-GB"/>
        </w:rPr>
        <w:tab/>
      </w:r>
      <w:r w:rsidRPr="00FA0E54">
        <w:rPr>
          <w:sz w:val="20"/>
          <w:szCs w:val="20"/>
          <w:lang w:val="en-GB"/>
        </w:rPr>
        <w:tab/>
      </w:r>
      <w:r w:rsidRPr="00FA0E54">
        <w:rPr>
          <w:sz w:val="20"/>
          <w:szCs w:val="20"/>
          <w:lang w:val="en-GB"/>
        </w:rPr>
        <w:tab/>
      </w:r>
      <w:r w:rsidRPr="00FA0E54">
        <w:rPr>
          <w:sz w:val="20"/>
          <w:szCs w:val="20"/>
          <w:lang w:val="en-GB"/>
        </w:rPr>
        <w:tab/>
      </w:r>
      <w:r w:rsidRPr="00FA0E54">
        <w:rPr>
          <w:sz w:val="20"/>
          <w:szCs w:val="20"/>
          <w:lang w:val="en-GB"/>
        </w:rPr>
        <w:tab/>
      </w:r>
      <w:r w:rsidRPr="00FA0E54">
        <w:rPr>
          <w:sz w:val="20"/>
          <w:szCs w:val="20"/>
          <w:lang w:val="en-GB"/>
        </w:rPr>
        <w:tab/>
      </w:r>
      <w:r w:rsidRPr="00FA0E54">
        <w:rPr>
          <w:sz w:val="20"/>
          <w:szCs w:val="20"/>
          <w:lang w:val="en-US"/>
        </w:rPr>
        <w:t>(1)</w:t>
      </w:r>
    </w:p>
    <w:p w14:paraId="38B952FA" w14:textId="77777777" w:rsidR="00ED4D1E" w:rsidRPr="00FA0E54" w:rsidRDefault="00ED4D1E" w:rsidP="00D12F5C">
      <w:pPr>
        <w:spacing w:line="360" w:lineRule="auto"/>
        <w:rPr>
          <w:sz w:val="20"/>
          <w:szCs w:val="20"/>
          <w:lang w:val="en-GB"/>
        </w:rPr>
      </w:pPr>
      <w:r w:rsidRPr="00FA0E54">
        <w:rPr>
          <w:sz w:val="20"/>
          <w:szCs w:val="20"/>
          <w:lang w:val="en-GB"/>
        </w:rPr>
        <w:t>The only nonzero entries of the matrix, survival probability (</w:t>
      </w:r>
      <w:r w:rsidRPr="00FA0E54">
        <w:rPr>
          <w:i/>
          <w:sz w:val="20"/>
          <w:szCs w:val="20"/>
          <w:lang w:val="en-GB"/>
        </w:rPr>
        <w:t>P</w:t>
      </w:r>
      <w:r w:rsidRPr="00FA0E54">
        <w:rPr>
          <w:i/>
          <w:sz w:val="20"/>
          <w:szCs w:val="20"/>
          <w:vertAlign w:val="subscript"/>
          <w:lang w:val="en-GB"/>
        </w:rPr>
        <w:t>i</w:t>
      </w:r>
      <w:r w:rsidRPr="00FA0E54">
        <w:rPr>
          <w:sz w:val="20"/>
          <w:szCs w:val="20"/>
          <w:lang w:val="en-GB"/>
        </w:rPr>
        <w:t>) appearing on the subdiagonal and fecundity (</w:t>
      </w:r>
      <w:r w:rsidRPr="00FA0E54">
        <w:rPr>
          <w:i/>
          <w:sz w:val="20"/>
          <w:szCs w:val="20"/>
          <w:lang w:val="en-GB"/>
        </w:rPr>
        <w:t>F</w:t>
      </w:r>
      <w:r w:rsidRPr="00FA0E54">
        <w:rPr>
          <w:i/>
          <w:sz w:val="20"/>
          <w:szCs w:val="20"/>
          <w:vertAlign w:val="subscript"/>
          <w:lang w:val="en-GB"/>
        </w:rPr>
        <w:t>i</w:t>
      </w:r>
      <w:r w:rsidRPr="00FA0E54">
        <w:rPr>
          <w:sz w:val="20"/>
          <w:szCs w:val="20"/>
          <w:lang w:val="en-GB"/>
        </w:rPr>
        <w:t>) appearing in the first row, were calculated by means of the birth-flow formulas (Caswell 2001) as follow:</w:t>
      </w:r>
    </w:p>
    <w:p w14:paraId="38B101DC" w14:textId="77777777" w:rsidR="00ED4D1E" w:rsidRPr="00FA0E54" w:rsidRDefault="00ED4D1E" w:rsidP="00D12F5C">
      <w:pPr>
        <w:spacing w:line="360" w:lineRule="auto"/>
        <w:rPr>
          <w:sz w:val="20"/>
          <w:szCs w:val="20"/>
          <w:lang w:val="en-US"/>
        </w:rPr>
      </w:pPr>
      <w:r w:rsidRPr="00FA0E54">
        <w:rPr>
          <w:position w:val="-28"/>
          <w:sz w:val="20"/>
          <w:szCs w:val="20"/>
        </w:rPr>
        <w:object w:dxaOrig="1719" w:dyaOrig="660" w14:anchorId="6C4698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5.4pt;height:33.7pt" o:ole="">
            <v:imagedata r:id="rId8" o:title=""/>
          </v:shape>
          <o:OLEObject Type="Embed" ProgID="Equation.3" ShapeID="_x0000_i1025" DrawAspect="Content" ObjectID="_1813654677" r:id="rId9"/>
        </w:object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  <w:t>(2)</w:t>
      </w:r>
    </w:p>
    <w:p w14:paraId="79A121DF" w14:textId="77777777" w:rsidR="00ED4D1E" w:rsidRPr="00FA0E54" w:rsidRDefault="00ED4D1E" w:rsidP="00D12F5C">
      <w:pPr>
        <w:spacing w:line="360" w:lineRule="auto"/>
        <w:rPr>
          <w:sz w:val="20"/>
          <w:szCs w:val="20"/>
          <w:lang w:val="en-GB"/>
        </w:rPr>
      </w:pPr>
      <w:r w:rsidRPr="00FA0E54">
        <w:rPr>
          <w:position w:val="-30"/>
          <w:sz w:val="20"/>
          <w:szCs w:val="20"/>
        </w:rPr>
        <w:object w:dxaOrig="2860" w:dyaOrig="720" w14:anchorId="6B544361">
          <v:shape id="_x0000_i1026" type="#_x0000_t75" style="width:142.6pt;height:36pt" o:ole="">
            <v:imagedata r:id="rId10" o:title=""/>
          </v:shape>
          <o:OLEObject Type="Embed" ProgID="Equation.3" ShapeID="_x0000_i1026" DrawAspect="Content" ObjectID="_1813654678" r:id="rId11"/>
        </w:object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  <w:t>(3)</w:t>
      </w:r>
    </w:p>
    <w:p w14:paraId="359D56C2" w14:textId="3A742A69" w:rsidR="00ED4D1E" w:rsidRPr="00FA0E54" w:rsidRDefault="00ED4D1E" w:rsidP="00D12F5C">
      <w:pPr>
        <w:spacing w:line="360" w:lineRule="auto"/>
        <w:rPr>
          <w:sz w:val="20"/>
          <w:szCs w:val="20"/>
          <w:lang w:val="en-GB"/>
        </w:rPr>
      </w:pPr>
      <w:r w:rsidRPr="00FA0E54">
        <w:rPr>
          <w:sz w:val="20"/>
          <w:szCs w:val="20"/>
          <w:lang w:val="en-GB"/>
        </w:rPr>
        <w:t xml:space="preserve">where </w:t>
      </w:r>
      <w:r w:rsidRPr="00FA0E54">
        <w:rPr>
          <w:i/>
          <w:sz w:val="20"/>
          <w:szCs w:val="20"/>
          <w:lang w:val="en-GB"/>
        </w:rPr>
        <w:t>l</w:t>
      </w:r>
      <w:r w:rsidRPr="00FA0E54">
        <w:rPr>
          <w:sz w:val="20"/>
          <w:szCs w:val="20"/>
          <w:lang w:val="en-GB"/>
        </w:rPr>
        <w:t>(</w:t>
      </w:r>
      <w:r w:rsidRPr="00FA0E54">
        <w:rPr>
          <w:i/>
          <w:sz w:val="20"/>
          <w:szCs w:val="20"/>
          <w:lang w:val="en-GB"/>
        </w:rPr>
        <w:t>i</w:t>
      </w:r>
      <w:r w:rsidRPr="00FA0E54">
        <w:rPr>
          <w:sz w:val="20"/>
          <w:szCs w:val="20"/>
          <w:lang w:val="en-GB"/>
        </w:rPr>
        <w:t xml:space="preserve">) is the survivorship from birth to age </w:t>
      </w:r>
      <w:r w:rsidRPr="00FA0E54">
        <w:rPr>
          <w:i/>
          <w:sz w:val="20"/>
          <w:szCs w:val="20"/>
          <w:lang w:val="en-GB"/>
        </w:rPr>
        <w:t>i</w:t>
      </w:r>
      <w:r w:rsidRPr="00FA0E54">
        <w:rPr>
          <w:sz w:val="20"/>
          <w:szCs w:val="20"/>
          <w:lang w:val="en-GB"/>
        </w:rPr>
        <w:t xml:space="preserve"> and </w:t>
      </w:r>
      <w:r w:rsidRPr="00FA0E54">
        <w:rPr>
          <w:i/>
          <w:sz w:val="20"/>
          <w:szCs w:val="20"/>
          <w:lang w:val="en-GB"/>
        </w:rPr>
        <w:t>m</w:t>
      </w:r>
      <w:r w:rsidRPr="00FA0E54">
        <w:rPr>
          <w:i/>
          <w:sz w:val="20"/>
          <w:szCs w:val="20"/>
          <w:vertAlign w:val="subscript"/>
          <w:lang w:val="en-GB"/>
        </w:rPr>
        <w:t>i</w:t>
      </w:r>
      <w:r w:rsidRPr="00FA0E54">
        <w:rPr>
          <w:sz w:val="20"/>
          <w:szCs w:val="20"/>
          <w:lang w:val="en-GB"/>
        </w:rPr>
        <w:t xml:space="preserve"> is the mean number of female offspring per female in age class </w:t>
      </w:r>
      <w:r w:rsidRPr="00FA0E54">
        <w:rPr>
          <w:i/>
          <w:sz w:val="20"/>
          <w:szCs w:val="20"/>
          <w:lang w:val="en-GB"/>
        </w:rPr>
        <w:t>i</w:t>
      </w:r>
      <w:r w:rsidRPr="00FA0E54">
        <w:rPr>
          <w:sz w:val="20"/>
          <w:szCs w:val="20"/>
          <w:lang w:val="en-GB"/>
        </w:rPr>
        <w:t>. Since adult performance were observed for no more than 2</w:t>
      </w:r>
      <w:r w:rsidR="001818C8">
        <w:rPr>
          <w:sz w:val="20"/>
          <w:szCs w:val="20"/>
          <w:lang w:val="en-GB"/>
        </w:rPr>
        <w:t>3</w:t>
      </w:r>
      <w:r w:rsidRPr="00FA0E54">
        <w:rPr>
          <w:sz w:val="20"/>
          <w:szCs w:val="20"/>
          <w:lang w:val="en-GB"/>
        </w:rPr>
        <w:t xml:space="preserve"> days and </w:t>
      </w:r>
      <w:r w:rsidR="001818C8">
        <w:rPr>
          <w:i/>
          <w:sz w:val="20"/>
          <w:szCs w:val="20"/>
          <w:lang w:val="en-GB"/>
        </w:rPr>
        <w:t>A. bipunctata</w:t>
      </w:r>
      <w:r w:rsidRPr="00FA0E54">
        <w:rPr>
          <w:sz w:val="20"/>
          <w:szCs w:val="20"/>
          <w:lang w:val="en-GB"/>
        </w:rPr>
        <w:t xml:space="preserve"> can live longer and keep on </w:t>
      </w:r>
      <w:r w:rsidRPr="006F06F4">
        <w:rPr>
          <w:sz w:val="20"/>
          <w:szCs w:val="20"/>
          <w:lang w:val="en-GB"/>
        </w:rPr>
        <w:t>reproducing (Lanzoni et al., 2004)</w:t>
      </w:r>
      <w:r w:rsidRPr="00FA0E54">
        <w:rPr>
          <w:sz w:val="20"/>
          <w:szCs w:val="20"/>
          <w:lang w:val="en-GB"/>
        </w:rPr>
        <w:t xml:space="preserve"> the term </w:t>
      </w:r>
      <w:r w:rsidRPr="00FA0E54">
        <w:rPr>
          <w:i/>
          <w:sz w:val="20"/>
          <w:szCs w:val="20"/>
          <w:lang w:val="en-GB"/>
        </w:rPr>
        <w:t>G</w:t>
      </w:r>
      <w:r w:rsidRPr="00FA0E54">
        <w:rPr>
          <w:i/>
          <w:sz w:val="20"/>
          <w:szCs w:val="20"/>
          <w:vertAlign w:val="subscript"/>
          <w:lang w:val="en-GB"/>
        </w:rPr>
        <w:t>z</w:t>
      </w:r>
      <w:r w:rsidRPr="00FA0E54">
        <w:rPr>
          <w:sz w:val="20"/>
          <w:szCs w:val="20"/>
          <w:lang w:val="en-GB"/>
        </w:rPr>
        <w:t xml:space="preserve"> was added to the diagonal of the matrix. In each treatment the most realistic value of </w:t>
      </w:r>
      <w:r w:rsidRPr="00FA0E54">
        <w:rPr>
          <w:i/>
          <w:sz w:val="20"/>
          <w:szCs w:val="20"/>
          <w:lang w:val="en-GB"/>
        </w:rPr>
        <w:t>G</w:t>
      </w:r>
      <w:r w:rsidRPr="00FA0E54">
        <w:rPr>
          <w:i/>
          <w:sz w:val="20"/>
          <w:szCs w:val="20"/>
          <w:vertAlign w:val="subscript"/>
          <w:lang w:val="en-GB"/>
        </w:rPr>
        <w:t>z</w:t>
      </w:r>
      <w:r w:rsidRPr="00FA0E54">
        <w:rPr>
          <w:sz w:val="20"/>
          <w:szCs w:val="20"/>
          <w:lang w:val="en-GB"/>
        </w:rPr>
        <w:t xml:space="preserve"> was estimate from the characteristic equation of </w:t>
      </w:r>
      <w:r w:rsidRPr="006F06F4">
        <w:rPr>
          <w:b/>
          <w:sz w:val="20"/>
          <w:szCs w:val="20"/>
          <w:lang w:val="en-GB"/>
        </w:rPr>
        <w:t>A</w:t>
      </w:r>
      <w:r w:rsidRPr="006F06F4">
        <w:rPr>
          <w:sz w:val="20"/>
          <w:szCs w:val="20"/>
          <w:lang w:val="en-GB"/>
        </w:rPr>
        <w:t xml:space="preserve"> (Caswell 2001).</w:t>
      </w:r>
    </w:p>
    <w:p w14:paraId="3118115D" w14:textId="06ACF85C" w:rsidR="00ED4D1E" w:rsidRPr="00FA0E54" w:rsidRDefault="00ED4D1E" w:rsidP="00D12F5C">
      <w:pPr>
        <w:spacing w:line="360" w:lineRule="auto"/>
        <w:rPr>
          <w:sz w:val="20"/>
          <w:szCs w:val="20"/>
          <w:lang w:val="en-US"/>
        </w:rPr>
      </w:pPr>
      <w:r w:rsidRPr="00FA0E54">
        <w:rPr>
          <w:sz w:val="20"/>
          <w:szCs w:val="20"/>
          <w:lang w:val="en-US"/>
        </w:rPr>
        <w:t>The asymptotic population growth rate (</w:t>
      </w:r>
      <w:r w:rsidRPr="00FA0E54">
        <w:rPr>
          <w:i/>
          <w:sz w:val="20"/>
          <w:szCs w:val="20"/>
          <w:lang w:val="en-US"/>
        </w:rPr>
        <w:t>λ</w:t>
      </w:r>
      <w:r w:rsidRPr="00FA0E54">
        <w:rPr>
          <w:sz w:val="20"/>
          <w:szCs w:val="20"/>
          <w:lang w:val="en-US"/>
        </w:rPr>
        <w:t>) was calculated as the dominant eigenvalue of the matrix. The discrete equivalent of the other stable population parameters (</w:t>
      </w:r>
      <w:r w:rsidRPr="00FA0E54">
        <w:rPr>
          <w:i/>
          <w:sz w:val="20"/>
          <w:szCs w:val="20"/>
          <w:lang w:val="en-US"/>
        </w:rPr>
        <w:t>R</w:t>
      </w:r>
      <w:r w:rsidRPr="00FA0E54">
        <w:rPr>
          <w:sz w:val="20"/>
          <w:szCs w:val="20"/>
          <w:vertAlign w:val="subscript"/>
          <w:lang w:val="en-US"/>
        </w:rPr>
        <w:t>0</w:t>
      </w:r>
      <w:r w:rsidRPr="00FA0E54">
        <w:rPr>
          <w:sz w:val="20"/>
          <w:szCs w:val="20"/>
          <w:lang w:val="en-US"/>
        </w:rPr>
        <w:t xml:space="preserve">, </w:t>
      </w:r>
      <w:r w:rsidRPr="00FA0E54">
        <w:rPr>
          <w:i/>
          <w:sz w:val="20"/>
          <w:szCs w:val="20"/>
          <w:lang w:val="en-US"/>
        </w:rPr>
        <w:t>r</w:t>
      </w:r>
      <w:r w:rsidRPr="00FA0E54">
        <w:rPr>
          <w:i/>
          <w:sz w:val="20"/>
          <w:szCs w:val="20"/>
          <w:vertAlign w:val="subscript"/>
          <w:lang w:val="en-US"/>
        </w:rPr>
        <w:t>m</w:t>
      </w:r>
      <w:r w:rsidRPr="00FA0E54">
        <w:rPr>
          <w:sz w:val="20"/>
          <w:szCs w:val="20"/>
          <w:lang w:val="en-US"/>
        </w:rPr>
        <w:t xml:space="preserve">, </w:t>
      </w:r>
      <w:r w:rsidRPr="00FA0E54">
        <w:rPr>
          <w:i/>
          <w:sz w:val="20"/>
          <w:szCs w:val="20"/>
          <w:lang w:val="en-US"/>
        </w:rPr>
        <w:t>T</w:t>
      </w:r>
      <w:r w:rsidRPr="00FA0E54">
        <w:rPr>
          <w:sz w:val="20"/>
          <w:szCs w:val="20"/>
          <w:lang w:val="en-US"/>
        </w:rPr>
        <w:t>) were also calculated from the age-classified matrix as follow (Caswell 2001):</w:t>
      </w:r>
    </w:p>
    <w:p w14:paraId="035EDFC6" w14:textId="5D30D54D" w:rsidR="00ED4D1E" w:rsidRPr="00FA0E54" w:rsidRDefault="00ED4D1E" w:rsidP="00D12F5C">
      <w:pPr>
        <w:spacing w:line="360" w:lineRule="auto"/>
        <w:rPr>
          <w:sz w:val="20"/>
          <w:szCs w:val="20"/>
          <w:lang w:val="en-US"/>
        </w:rPr>
      </w:pPr>
      <w:r w:rsidRPr="00FA0E54">
        <w:rPr>
          <w:position w:val="-32"/>
          <w:sz w:val="20"/>
          <w:szCs w:val="20"/>
        </w:rPr>
        <w:object w:dxaOrig="1579" w:dyaOrig="720" w14:anchorId="1AA9CFF5">
          <v:shape id="_x0000_i1027" type="#_x0000_t75" style="width:78.9pt;height:36pt" o:ole="">
            <v:imagedata r:id="rId12" o:title=""/>
          </v:shape>
          <o:OLEObject Type="Embed" ProgID="Equation.3" ShapeID="_x0000_i1027" DrawAspect="Content" ObjectID="_1813654679" r:id="rId13"/>
        </w:object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  <w:t>(</w:t>
      </w:r>
      <w:r w:rsidR="00341E22">
        <w:rPr>
          <w:sz w:val="20"/>
          <w:szCs w:val="20"/>
          <w:lang w:val="en-US"/>
        </w:rPr>
        <w:t>4</w:t>
      </w:r>
      <w:r w:rsidRPr="00FA0E54">
        <w:rPr>
          <w:sz w:val="20"/>
          <w:szCs w:val="20"/>
          <w:lang w:val="en-US"/>
        </w:rPr>
        <w:t>)</w:t>
      </w:r>
    </w:p>
    <w:p w14:paraId="69BB713D" w14:textId="35FBC99B" w:rsidR="00ED4D1E" w:rsidRPr="00FA0E54" w:rsidRDefault="00ED4D1E" w:rsidP="00D12F5C">
      <w:pPr>
        <w:spacing w:line="360" w:lineRule="auto"/>
        <w:rPr>
          <w:sz w:val="20"/>
          <w:szCs w:val="20"/>
          <w:lang w:val="en-US"/>
        </w:rPr>
      </w:pPr>
      <w:r w:rsidRPr="00FA0E54">
        <w:rPr>
          <w:position w:val="-12"/>
          <w:sz w:val="20"/>
          <w:szCs w:val="20"/>
        </w:rPr>
        <w:object w:dxaOrig="1040" w:dyaOrig="360" w14:anchorId="7F9BBD3F">
          <v:shape id="_x0000_i1028" type="#_x0000_t75" style="width:52.6pt;height:18.9pt" o:ole="" fillcolor="window">
            <v:imagedata r:id="rId14" o:title=""/>
          </v:shape>
          <o:OLEObject Type="Embed" ProgID="Equation.3" ShapeID="_x0000_i1028" DrawAspect="Content" ObjectID="_1813654680" r:id="rId15"/>
        </w:object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  <w:t>(</w:t>
      </w:r>
      <w:r w:rsidR="00341E22">
        <w:rPr>
          <w:sz w:val="20"/>
          <w:szCs w:val="20"/>
          <w:lang w:val="en-US"/>
        </w:rPr>
        <w:t>5</w:t>
      </w:r>
      <w:r w:rsidRPr="00FA0E54">
        <w:rPr>
          <w:sz w:val="20"/>
          <w:szCs w:val="20"/>
          <w:lang w:val="en-US"/>
        </w:rPr>
        <w:t>)</w:t>
      </w:r>
    </w:p>
    <w:p w14:paraId="56F427D8" w14:textId="0D390FA1" w:rsidR="00ED4D1E" w:rsidRPr="00FA0E54" w:rsidRDefault="00ED4D1E" w:rsidP="00D12F5C">
      <w:pPr>
        <w:spacing w:line="360" w:lineRule="auto"/>
        <w:rPr>
          <w:sz w:val="20"/>
          <w:szCs w:val="20"/>
          <w:lang w:val="en-US"/>
        </w:rPr>
      </w:pPr>
      <w:r w:rsidRPr="00FA0E54">
        <w:rPr>
          <w:position w:val="-42"/>
          <w:sz w:val="20"/>
          <w:szCs w:val="20"/>
        </w:rPr>
        <w:object w:dxaOrig="2020" w:dyaOrig="960" w14:anchorId="14B81286">
          <v:shape id="_x0000_i1029" type="#_x0000_t75" style="width:100.6pt;height:48.9pt" o:ole="" fillcolor="window">
            <v:imagedata r:id="rId16" o:title=""/>
          </v:shape>
          <o:OLEObject Type="Embed" ProgID="Equation.3" ShapeID="_x0000_i1029" DrawAspect="Content" ObjectID="_1813654681" r:id="rId17"/>
        </w:object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</w:r>
      <w:r w:rsidRPr="00FA0E54">
        <w:rPr>
          <w:sz w:val="20"/>
          <w:szCs w:val="20"/>
          <w:lang w:val="en-US"/>
        </w:rPr>
        <w:tab/>
        <w:t>(</w:t>
      </w:r>
      <w:r w:rsidR="00341E22">
        <w:rPr>
          <w:sz w:val="20"/>
          <w:szCs w:val="20"/>
          <w:lang w:val="en-US"/>
        </w:rPr>
        <w:t>6</w:t>
      </w:r>
      <w:r w:rsidRPr="00FA0E54">
        <w:rPr>
          <w:sz w:val="20"/>
          <w:szCs w:val="20"/>
          <w:lang w:val="en-US"/>
        </w:rPr>
        <w:t>)</w:t>
      </w:r>
    </w:p>
    <w:p w14:paraId="2709D72B" w14:textId="0AC5DBC0" w:rsidR="006F06F4" w:rsidRDefault="006F06F4" w:rsidP="006F06F4">
      <w:pPr>
        <w:spacing w:line="360" w:lineRule="auto"/>
        <w:rPr>
          <w:sz w:val="20"/>
          <w:szCs w:val="20"/>
          <w:lang w:val="en-US"/>
        </w:rPr>
      </w:pPr>
      <w:r w:rsidRPr="006F06F4">
        <w:rPr>
          <w:sz w:val="20"/>
          <w:szCs w:val="20"/>
          <w:lang w:val="en-GB"/>
        </w:rPr>
        <w:t>Finally, an application of matrix models, the Delay in Population Growth Index (</w:t>
      </w:r>
      <w:r w:rsidRPr="006549AC">
        <w:rPr>
          <w:sz w:val="20"/>
          <w:szCs w:val="20"/>
          <w:lang w:val="en-GB"/>
        </w:rPr>
        <w:t>Wennergren and Stark, 2000; Stark et al., 2004; Stark et al., 2007a;b), a</w:t>
      </w:r>
      <w:r w:rsidRPr="006F06F4">
        <w:rPr>
          <w:sz w:val="20"/>
          <w:szCs w:val="20"/>
          <w:lang w:val="en-GB"/>
        </w:rPr>
        <w:t xml:space="preserve"> measure of population recovery, was calculated to compare the time required to a </w:t>
      </w:r>
      <w:r>
        <w:rPr>
          <w:sz w:val="20"/>
          <w:szCs w:val="20"/>
          <w:lang w:val="en-GB"/>
        </w:rPr>
        <w:t xml:space="preserve">control </w:t>
      </w:r>
      <w:r w:rsidRPr="006F06F4">
        <w:rPr>
          <w:sz w:val="20"/>
          <w:szCs w:val="20"/>
          <w:lang w:val="en-GB"/>
        </w:rPr>
        <w:t xml:space="preserve">population and a population exposed to </w:t>
      </w:r>
      <w:r>
        <w:rPr>
          <w:sz w:val="20"/>
          <w:szCs w:val="20"/>
          <w:lang w:val="en-GB"/>
        </w:rPr>
        <w:t>insecticide</w:t>
      </w:r>
      <w:r w:rsidRPr="006F06F4">
        <w:rPr>
          <w:sz w:val="20"/>
          <w:szCs w:val="20"/>
          <w:lang w:val="en-GB"/>
        </w:rPr>
        <w:t xml:space="preserve"> to reach a predetermined number of individuals. In this study the population delay was determined by choosing a population size of 100,000 individuals (Stark et al., 2004). In each </w:t>
      </w:r>
      <w:r w:rsidRPr="006F06F4">
        <w:rPr>
          <w:sz w:val="20"/>
          <w:szCs w:val="20"/>
          <w:lang w:val="en-GB"/>
        </w:rPr>
        <w:lastRenderedPageBreak/>
        <w:t xml:space="preserve">treatment, population growth was simulated by multiplying the matrix </w:t>
      </w:r>
      <w:r w:rsidRPr="006F06F4">
        <w:rPr>
          <w:b/>
          <w:sz w:val="20"/>
          <w:szCs w:val="20"/>
          <w:lang w:val="en-GB"/>
        </w:rPr>
        <w:t>A</w:t>
      </w:r>
      <w:r w:rsidRPr="006F06F4">
        <w:rPr>
          <w:sz w:val="20"/>
          <w:szCs w:val="20"/>
          <w:lang w:val="en-GB"/>
        </w:rPr>
        <w:t xml:space="preserve"> by an initial population vector </w:t>
      </w:r>
      <w:r w:rsidRPr="006F06F4">
        <w:rPr>
          <w:b/>
          <w:sz w:val="20"/>
          <w:szCs w:val="20"/>
          <w:lang w:val="en-GB"/>
        </w:rPr>
        <w:t>n</w:t>
      </w:r>
      <w:r w:rsidRPr="006F06F4">
        <w:rPr>
          <w:sz w:val="20"/>
          <w:szCs w:val="20"/>
          <w:lang w:val="en-GB"/>
        </w:rPr>
        <w:t xml:space="preserve"> (</w:t>
      </w:r>
      <w:r w:rsidRPr="006F06F4">
        <w:rPr>
          <w:i/>
          <w:sz w:val="20"/>
          <w:szCs w:val="20"/>
          <w:lang w:val="en-GB"/>
        </w:rPr>
        <w:t>t</w:t>
      </w:r>
      <w:r w:rsidRPr="006F06F4">
        <w:rPr>
          <w:sz w:val="20"/>
          <w:szCs w:val="20"/>
          <w:lang w:val="en-GB"/>
        </w:rPr>
        <w:t>) = [</w:t>
      </w:r>
      <w:r w:rsidRPr="006F06F4">
        <w:rPr>
          <w:i/>
          <w:sz w:val="20"/>
          <w:szCs w:val="20"/>
          <w:lang w:val="en-GB"/>
        </w:rPr>
        <w:t>n</w:t>
      </w:r>
      <w:r w:rsidRPr="006F06F4">
        <w:rPr>
          <w:sz w:val="20"/>
          <w:szCs w:val="20"/>
          <w:vertAlign w:val="subscript"/>
          <w:lang w:val="en-GB"/>
        </w:rPr>
        <w:t>1</w:t>
      </w:r>
      <w:r w:rsidRPr="006F06F4">
        <w:rPr>
          <w:sz w:val="20"/>
          <w:szCs w:val="20"/>
          <w:lang w:val="en-GB"/>
        </w:rPr>
        <w:t xml:space="preserve"> </w:t>
      </w:r>
      <w:r w:rsidRPr="006F06F4">
        <w:rPr>
          <w:i/>
          <w:sz w:val="20"/>
          <w:szCs w:val="20"/>
          <w:lang w:val="en-GB"/>
        </w:rPr>
        <w:t>n</w:t>
      </w:r>
      <w:r w:rsidRPr="006F06F4">
        <w:rPr>
          <w:sz w:val="20"/>
          <w:szCs w:val="20"/>
          <w:vertAlign w:val="subscript"/>
          <w:lang w:val="en-GB"/>
        </w:rPr>
        <w:t>2</w:t>
      </w:r>
      <w:r w:rsidRPr="006F06F4">
        <w:rPr>
          <w:sz w:val="20"/>
          <w:szCs w:val="20"/>
          <w:lang w:val="en-GB"/>
        </w:rPr>
        <w:t xml:space="preserve"> </w:t>
      </w:r>
      <w:r w:rsidRPr="006F06F4">
        <w:rPr>
          <w:i/>
          <w:sz w:val="20"/>
          <w:szCs w:val="20"/>
          <w:lang w:val="en-GB"/>
        </w:rPr>
        <w:t>n</w:t>
      </w:r>
      <w:r w:rsidRPr="006F06F4">
        <w:rPr>
          <w:sz w:val="20"/>
          <w:szCs w:val="20"/>
          <w:vertAlign w:val="subscript"/>
          <w:lang w:val="en-GB"/>
        </w:rPr>
        <w:t>3</w:t>
      </w:r>
      <w:r w:rsidRPr="006F06F4">
        <w:rPr>
          <w:sz w:val="20"/>
          <w:szCs w:val="20"/>
          <w:lang w:val="en-GB"/>
        </w:rPr>
        <w:t xml:space="preserve"> ··· </w:t>
      </w:r>
      <w:r w:rsidRPr="006F06F4">
        <w:rPr>
          <w:i/>
          <w:sz w:val="20"/>
          <w:szCs w:val="20"/>
          <w:lang w:val="en-GB"/>
        </w:rPr>
        <w:t>n</w:t>
      </w:r>
      <w:r w:rsidRPr="006F06F4">
        <w:rPr>
          <w:i/>
          <w:sz w:val="20"/>
          <w:szCs w:val="20"/>
          <w:vertAlign w:val="subscript"/>
          <w:lang w:val="en-GB"/>
        </w:rPr>
        <w:t>z</w:t>
      </w:r>
      <w:r w:rsidRPr="006F06F4">
        <w:rPr>
          <w:sz w:val="20"/>
          <w:szCs w:val="20"/>
          <w:lang w:val="en-GB"/>
        </w:rPr>
        <w:t>]</w:t>
      </w:r>
      <w:r w:rsidRPr="006F06F4">
        <w:rPr>
          <w:rFonts w:ascii="Arial" w:hAnsi="Arial" w:cs="Arial"/>
          <w:sz w:val="20"/>
          <w:szCs w:val="20"/>
          <w:vertAlign w:val="superscript"/>
          <w:lang w:val="en-GB"/>
        </w:rPr>
        <w:t>T</w:t>
      </w:r>
      <w:r w:rsidRPr="006F06F4">
        <w:rPr>
          <w:sz w:val="20"/>
          <w:szCs w:val="20"/>
          <w:lang w:val="en-GB"/>
        </w:rPr>
        <w:t>, containing information on the age distribution of the population. The population projection was started with a vector consisting of 100 individuals distributed according to the stable age distribution and ended when at least 100,000 individuals had been reached. In each treatment, the stable age distribution (</w:t>
      </w:r>
      <w:r w:rsidRPr="006F06F4">
        <w:rPr>
          <w:b/>
          <w:i/>
          <w:sz w:val="20"/>
          <w:szCs w:val="20"/>
          <w:lang w:val="en-GB"/>
        </w:rPr>
        <w:t>w</w:t>
      </w:r>
      <w:r w:rsidRPr="006F06F4">
        <w:rPr>
          <w:sz w:val="20"/>
          <w:szCs w:val="20"/>
          <w:lang w:val="en-GB"/>
        </w:rPr>
        <w:t xml:space="preserve">) was calculated as the corresponding right eigenvector of the dominant eigenvalue of the matrix </w:t>
      </w:r>
      <w:r w:rsidRPr="006F06F4">
        <w:rPr>
          <w:b/>
          <w:sz w:val="20"/>
          <w:szCs w:val="20"/>
          <w:lang w:val="en-GB"/>
        </w:rPr>
        <w:t>A</w:t>
      </w:r>
      <w:r w:rsidRPr="006F06F4">
        <w:rPr>
          <w:sz w:val="20"/>
          <w:szCs w:val="20"/>
          <w:lang w:val="en-GB"/>
        </w:rPr>
        <w:t xml:space="preserve"> (Caswell, 2001). </w:t>
      </w:r>
      <w:r w:rsidRPr="00FA0E54">
        <w:rPr>
          <w:sz w:val="20"/>
          <w:szCs w:val="20"/>
          <w:lang w:val="en-GB"/>
        </w:rPr>
        <w:t>All demographic calculations were performed with the software PopTools version 2.7</w:t>
      </w:r>
      <w:r w:rsidRPr="006549AC">
        <w:rPr>
          <w:sz w:val="20"/>
          <w:szCs w:val="20"/>
          <w:lang w:val="en-GB"/>
        </w:rPr>
        <w:t>.5 (</w:t>
      </w:r>
      <w:r w:rsidRPr="006549AC">
        <w:rPr>
          <w:sz w:val="20"/>
          <w:szCs w:val="20"/>
          <w:lang w:val="en-US"/>
        </w:rPr>
        <w:t>Hood 2006).</w:t>
      </w:r>
    </w:p>
    <w:p w14:paraId="638C1D94" w14:textId="1157A5E3" w:rsidR="006F06F4" w:rsidRDefault="006F06F4" w:rsidP="006F06F4">
      <w:pPr>
        <w:spacing w:line="360" w:lineRule="auto"/>
        <w:rPr>
          <w:sz w:val="20"/>
          <w:szCs w:val="20"/>
          <w:lang w:val="en-GB"/>
        </w:rPr>
      </w:pPr>
    </w:p>
    <w:p w14:paraId="6A83B740" w14:textId="5B67C0DB" w:rsidR="006F06F4" w:rsidRPr="00AA4B74" w:rsidRDefault="006F06F4" w:rsidP="0016141C">
      <w:pPr>
        <w:spacing w:line="360" w:lineRule="auto"/>
        <w:rPr>
          <w:b/>
          <w:sz w:val="20"/>
          <w:szCs w:val="20"/>
          <w:lang w:val="en-US"/>
        </w:rPr>
      </w:pPr>
      <w:r w:rsidRPr="00AA4B74">
        <w:rPr>
          <w:b/>
          <w:sz w:val="20"/>
          <w:szCs w:val="20"/>
          <w:lang w:val="en-US"/>
        </w:rPr>
        <w:t>References</w:t>
      </w:r>
    </w:p>
    <w:p w14:paraId="16990AA1" w14:textId="77777777" w:rsidR="006F06F4" w:rsidRPr="006549AC" w:rsidRDefault="006F06F4" w:rsidP="0016141C">
      <w:pPr>
        <w:spacing w:line="360" w:lineRule="auto"/>
        <w:rPr>
          <w:sz w:val="20"/>
          <w:szCs w:val="20"/>
          <w:lang w:val="en-US"/>
        </w:rPr>
      </w:pPr>
      <w:r w:rsidRPr="006549AC">
        <w:rPr>
          <w:sz w:val="20"/>
          <w:szCs w:val="20"/>
          <w:lang w:val="en-US"/>
        </w:rPr>
        <w:t>Caswell, H. (2001). Matrix population models. John Wiley &amp; Sons, Ltd.</w:t>
      </w:r>
    </w:p>
    <w:p w14:paraId="13BBEE9E" w14:textId="77777777" w:rsidR="006F06F4" w:rsidRPr="006549AC" w:rsidRDefault="006F06F4" w:rsidP="0016141C">
      <w:pPr>
        <w:spacing w:line="360" w:lineRule="auto"/>
        <w:rPr>
          <w:sz w:val="20"/>
          <w:szCs w:val="20"/>
          <w:lang w:val="en-US"/>
        </w:rPr>
      </w:pPr>
      <w:r w:rsidRPr="006549AC">
        <w:rPr>
          <w:sz w:val="20"/>
          <w:szCs w:val="20"/>
          <w:lang w:val="en-US"/>
        </w:rPr>
        <w:t>Hamda, N. T., Jevtić, D. M., &amp; Laskowski, R. (2012). Decomposition analysis of LTREs may facilitate the design of short-term ecotoxicological tests. Ecotoxicology, 21(5), 1504-1512.</w:t>
      </w:r>
    </w:p>
    <w:p w14:paraId="5C9B4E2D" w14:textId="6C813DA3" w:rsidR="006549AC" w:rsidRPr="006549AC" w:rsidRDefault="006549AC" w:rsidP="0016141C">
      <w:pPr>
        <w:spacing w:line="360" w:lineRule="auto"/>
        <w:rPr>
          <w:sz w:val="20"/>
          <w:szCs w:val="20"/>
        </w:rPr>
      </w:pPr>
      <w:r w:rsidRPr="006549AC">
        <w:rPr>
          <w:sz w:val="20"/>
          <w:szCs w:val="20"/>
          <w:lang w:val="en-US"/>
        </w:rPr>
        <w:t xml:space="preserve">Hood, G. M. (2006). PopTools version 2.7. 5. Available on the internet. </w:t>
      </w:r>
      <w:r w:rsidRPr="006549AC">
        <w:rPr>
          <w:sz w:val="20"/>
          <w:szCs w:val="20"/>
        </w:rPr>
        <w:t>URL http://www.cse.csiro.au/poptools.</w:t>
      </w:r>
    </w:p>
    <w:p w14:paraId="365E7CC8" w14:textId="44121923" w:rsidR="006F06F4" w:rsidRPr="006549AC" w:rsidRDefault="006F06F4" w:rsidP="0016141C">
      <w:pPr>
        <w:spacing w:line="360" w:lineRule="auto"/>
        <w:rPr>
          <w:sz w:val="20"/>
          <w:szCs w:val="20"/>
          <w:lang w:val="en-US"/>
        </w:rPr>
      </w:pPr>
      <w:r w:rsidRPr="006549AC">
        <w:rPr>
          <w:sz w:val="20"/>
          <w:szCs w:val="20"/>
        </w:rPr>
        <w:t xml:space="preserve">Lanzoni, A., Accinelli, G., Bazzocchi, G. G., &amp; Burgio, G. (2004). </w:t>
      </w:r>
      <w:r w:rsidRPr="006549AC">
        <w:rPr>
          <w:sz w:val="20"/>
          <w:szCs w:val="20"/>
          <w:lang w:val="en-US"/>
        </w:rPr>
        <w:t xml:space="preserve">Biological traits and life table of the exotic </w:t>
      </w:r>
      <w:r w:rsidRPr="006549AC">
        <w:rPr>
          <w:i/>
          <w:sz w:val="20"/>
          <w:szCs w:val="20"/>
          <w:lang w:val="en-US"/>
        </w:rPr>
        <w:t>Harmonia</w:t>
      </w:r>
      <w:r w:rsidRPr="006549AC">
        <w:rPr>
          <w:sz w:val="20"/>
          <w:szCs w:val="20"/>
          <w:lang w:val="en-US"/>
        </w:rPr>
        <w:t xml:space="preserve"> </w:t>
      </w:r>
      <w:r w:rsidRPr="006549AC">
        <w:rPr>
          <w:i/>
          <w:sz w:val="20"/>
          <w:szCs w:val="20"/>
          <w:lang w:val="en-US"/>
        </w:rPr>
        <w:t>axyridis</w:t>
      </w:r>
      <w:r w:rsidRPr="006549AC">
        <w:rPr>
          <w:sz w:val="20"/>
          <w:szCs w:val="20"/>
          <w:lang w:val="en-US"/>
        </w:rPr>
        <w:t xml:space="preserve"> compared with </w:t>
      </w:r>
      <w:r w:rsidRPr="006549AC">
        <w:rPr>
          <w:i/>
          <w:sz w:val="20"/>
          <w:szCs w:val="20"/>
          <w:lang w:val="en-US"/>
        </w:rPr>
        <w:t>Hippodamia</w:t>
      </w:r>
      <w:r w:rsidRPr="006549AC">
        <w:rPr>
          <w:sz w:val="20"/>
          <w:szCs w:val="20"/>
          <w:lang w:val="en-US"/>
        </w:rPr>
        <w:t xml:space="preserve"> </w:t>
      </w:r>
      <w:r w:rsidRPr="006549AC">
        <w:rPr>
          <w:i/>
          <w:sz w:val="20"/>
          <w:szCs w:val="20"/>
          <w:lang w:val="en-US"/>
        </w:rPr>
        <w:t>variegata</w:t>
      </w:r>
      <w:r w:rsidRPr="006549AC">
        <w:rPr>
          <w:sz w:val="20"/>
          <w:szCs w:val="20"/>
          <w:lang w:val="en-US"/>
        </w:rPr>
        <w:t xml:space="preserve">, and </w:t>
      </w:r>
      <w:r w:rsidRPr="006549AC">
        <w:rPr>
          <w:i/>
          <w:sz w:val="20"/>
          <w:szCs w:val="20"/>
          <w:lang w:val="en-US"/>
        </w:rPr>
        <w:t>Adalia</w:t>
      </w:r>
      <w:r w:rsidRPr="006549AC">
        <w:rPr>
          <w:sz w:val="20"/>
          <w:szCs w:val="20"/>
          <w:lang w:val="en-US"/>
        </w:rPr>
        <w:t xml:space="preserve"> </w:t>
      </w:r>
      <w:r w:rsidRPr="006549AC">
        <w:rPr>
          <w:i/>
          <w:sz w:val="20"/>
          <w:szCs w:val="20"/>
          <w:lang w:val="en-US"/>
        </w:rPr>
        <w:t>bipunctata</w:t>
      </w:r>
      <w:r w:rsidRPr="006549AC">
        <w:rPr>
          <w:sz w:val="20"/>
          <w:szCs w:val="20"/>
          <w:lang w:val="en-US"/>
        </w:rPr>
        <w:t xml:space="preserve"> (Col., Coccinellidae). Journal of Applied Entomology, 128(4), 298-306.</w:t>
      </w:r>
    </w:p>
    <w:p w14:paraId="3099E779" w14:textId="35267F44" w:rsidR="00255D56" w:rsidRPr="006549AC" w:rsidRDefault="00255D56" w:rsidP="0016141C">
      <w:pPr>
        <w:spacing w:line="360" w:lineRule="auto"/>
        <w:rPr>
          <w:sz w:val="20"/>
          <w:szCs w:val="20"/>
          <w:lang w:val="en-GB"/>
        </w:rPr>
      </w:pPr>
      <w:r w:rsidRPr="006549AC">
        <w:rPr>
          <w:sz w:val="20"/>
          <w:szCs w:val="20"/>
          <w:lang w:val="en-GB"/>
        </w:rPr>
        <w:t>Logofet, D. O., &amp; Lesnaya, E. V. (1997). Why are the middle points the most sensitive in the sensitivity experiments? Ecological modelling, 104(2), 303-306.</w:t>
      </w:r>
    </w:p>
    <w:p w14:paraId="4219EF55" w14:textId="77777777" w:rsidR="006549AC" w:rsidRPr="006549AC" w:rsidRDefault="006549AC" w:rsidP="0016141C">
      <w:pPr>
        <w:spacing w:line="360" w:lineRule="auto"/>
        <w:rPr>
          <w:sz w:val="20"/>
          <w:szCs w:val="20"/>
          <w:lang w:val="en-GB"/>
        </w:rPr>
      </w:pPr>
      <w:r w:rsidRPr="006549AC">
        <w:rPr>
          <w:sz w:val="20"/>
          <w:szCs w:val="20"/>
          <w:lang w:val="en-GB"/>
        </w:rPr>
        <w:t>Stark, J. D., Banks, J. E., &amp; Vargas, R. (2004). How risky is risk assessment: The role that life history strategies play in susceptibility of species to stress. Proceedings of the National Academy of Sciences of the United States of America, 101(3), 732-736.</w:t>
      </w:r>
    </w:p>
    <w:p w14:paraId="2C99006D" w14:textId="77777777" w:rsidR="006549AC" w:rsidRPr="006549AC" w:rsidRDefault="006549AC" w:rsidP="0016141C">
      <w:pPr>
        <w:spacing w:line="360" w:lineRule="auto"/>
        <w:rPr>
          <w:sz w:val="20"/>
          <w:szCs w:val="20"/>
          <w:lang w:val="en-GB"/>
        </w:rPr>
      </w:pPr>
      <w:r w:rsidRPr="006549AC">
        <w:rPr>
          <w:sz w:val="20"/>
          <w:szCs w:val="20"/>
          <w:lang w:val="en-GB"/>
        </w:rPr>
        <w:t>Stark, J. D., Vargas, R., &amp; Banks, J. E. (2007a). Incorporating ecologically relevant measures of pesticide effect for estimating the compatibility of pesticides and biocontrol agents. Journal of Economic Entomology, 100(4), 1027-1032.</w:t>
      </w:r>
    </w:p>
    <w:p w14:paraId="04B22733" w14:textId="77777777" w:rsidR="006549AC" w:rsidRPr="006549AC" w:rsidRDefault="006549AC" w:rsidP="0016141C">
      <w:pPr>
        <w:spacing w:line="360" w:lineRule="auto"/>
        <w:rPr>
          <w:sz w:val="20"/>
          <w:szCs w:val="20"/>
          <w:lang w:val="en-GB"/>
        </w:rPr>
      </w:pPr>
      <w:r w:rsidRPr="006549AC">
        <w:rPr>
          <w:sz w:val="20"/>
          <w:szCs w:val="20"/>
          <w:lang w:val="en-GB"/>
        </w:rPr>
        <w:t>Stark, J. D., Sugayama, R. L., &amp; Kovaleski, A. (2007b). Why demographic and modeling approaches should be adopted for estimating the effects of pesticides on biocontrol agents. BioControl, 52(3), 365-374.</w:t>
      </w:r>
    </w:p>
    <w:p w14:paraId="456534F2" w14:textId="77777777" w:rsidR="006549AC" w:rsidRPr="006549AC" w:rsidRDefault="006549AC" w:rsidP="0016141C">
      <w:pPr>
        <w:spacing w:line="360" w:lineRule="auto"/>
        <w:rPr>
          <w:sz w:val="20"/>
          <w:szCs w:val="20"/>
          <w:lang w:val="en-US"/>
        </w:rPr>
      </w:pPr>
      <w:bookmarkStart w:id="0" w:name="_Hlk190948726"/>
      <w:r w:rsidRPr="006549AC">
        <w:rPr>
          <w:sz w:val="20"/>
          <w:szCs w:val="20"/>
          <w:lang w:val="en-GB"/>
        </w:rPr>
        <w:t>Wennergren, U., &amp; Stark, J. (2000). Modeling long-term effects of pesticides on populations: beyond just counting dead animals. Ecological Applications, 10(1), 295-302.</w:t>
      </w:r>
    </w:p>
    <w:bookmarkEnd w:id="0"/>
    <w:p w14:paraId="2687B705" w14:textId="77777777" w:rsidR="00ED4D1E" w:rsidRPr="006549AC" w:rsidRDefault="00ED4D1E" w:rsidP="0016141C">
      <w:pPr>
        <w:spacing w:line="360" w:lineRule="auto"/>
        <w:rPr>
          <w:sz w:val="20"/>
          <w:szCs w:val="20"/>
          <w:lang w:val="en-GB"/>
        </w:rPr>
      </w:pPr>
    </w:p>
    <w:sectPr w:rsidR="00ED4D1E" w:rsidRPr="006549A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4D1E"/>
    <w:rsid w:val="00043730"/>
    <w:rsid w:val="0016141C"/>
    <w:rsid w:val="001818C8"/>
    <w:rsid w:val="0022326F"/>
    <w:rsid w:val="00252D80"/>
    <w:rsid w:val="00255D56"/>
    <w:rsid w:val="00291417"/>
    <w:rsid w:val="00341E22"/>
    <w:rsid w:val="0042261F"/>
    <w:rsid w:val="004630ED"/>
    <w:rsid w:val="004C199E"/>
    <w:rsid w:val="005A24D2"/>
    <w:rsid w:val="005D5110"/>
    <w:rsid w:val="006549AC"/>
    <w:rsid w:val="006F06F4"/>
    <w:rsid w:val="007302A3"/>
    <w:rsid w:val="00AA4B74"/>
    <w:rsid w:val="00AB012C"/>
    <w:rsid w:val="00AD5EEE"/>
    <w:rsid w:val="00B726A5"/>
    <w:rsid w:val="00CC0B86"/>
    <w:rsid w:val="00D12F5C"/>
    <w:rsid w:val="00ED0C45"/>
    <w:rsid w:val="00ED4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35FA48A3"/>
  <w15:chartTrackingRefBased/>
  <w15:docId w15:val="{1A21F6F8-710D-4E3F-849D-9EE92E5D8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D4D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42261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oleObject" Target="embeddings/oleObject3.bin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12" Type="http://schemas.openxmlformats.org/officeDocument/2006/relationships/image" Target="media/image4.wmf"/><Relationship Id="rId17" Type="http://schemas.openxmlformats.org/officeDocument/2006/relationships/oleObject" Target="embeddings/oleObject5.bin"/><Relationship Id="rId2" Type="http://schemas.openxmlformats.org/officeDocument/2006/relationships/customXml" Target="../customXml/item2.xml"/><Relationship Id="rId16" Type="http://schemas.openxmlformats.org/officeDocument/2006/relationships/image" Target="media/image6.w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2.bin"/><Relationship Id="rId5" Type="http://schemas.openxmlformats.org/officeDocument/2006/relationships/settings" Target="settings.xml"/><Relationship Id="rId15" Type="http://schemas.openxmlformats.org/officeDocument/2006/relationships/oleObject" Target="embeddings/oleObject4.bin"/><Relationship Id="rId10" Type="http://schemas.openxmlformats.org/officeDocument/2006/relationships/image" Target="media/image3.wmf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334190091355D4AB015021075066202" ma:contentTypeVersion="17" ma:contentTypeDescription="Create a new document." ma:contentTypeScope="" ma:versionID="bd8a1b9fe51f365d6392ec3e8514e2ed">
  <xsd:schema xmlns:xsd="http://www.w3.org/2001/XMLSchema" xmlns:xs="http://www.w3.org/2001/XMLSchema" xmlns:p="http://schemas.microsoft.com/office/2006/metadata/properties" xmlns:ns3="fbaff591-ef40-4c49-b0f6-2605256bff4b" xmlns:ns4="127bb1c5-539d-4c33-a21c-627cc3373970" targetNamespace="http://schemas.microsoft.com/office/2006/metadata/properties" ma:root="true" ma:fieldsID="6b55f8f4b3fa678b5869c161405ad9fd" ns3:_="" ns4:_="">
    <xsd:import namespace="fbaff591-ef40-4c49-b0f6-2605256bff4b"/>
    <xsd:import namespace="127bb1c5-539d-4c33-a21c-627cc337397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aff591-ef40-4c49-b0f6-2605256bff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7bb1c5-539d-4c33-a21c-627cc3373970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C5CAA90-5CFD-43CD-B5D9-F1BC570924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baff591-ef40-4c49-b0f6-2605256bff4b"/>
    <ds:schemaRef ds:uri="127bb1c5-539d-4c33-a21c-627cc33739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2550218-858D-42D7-91EB-8FE2D9974F4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9993F83-DFB1-497D-AEAB-896520AB548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675</Words>
  <Characters>3851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Alma Mater Studiorum Università di Bologna</Company>
  <LinksUpToDate>false</LinksUpToDate>
  <CharactersWithSpaces>4517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Alberto Lanzoni</dc:creator>
  <cp:keywords/>
  <dc:description/>
  <cp:lastModifiedBy>Laura Depalo</cp:lastModifiedBy>
  <cp:revision>5</cp:revision>
  <dcterms:created xsi:type="dcterms:W3CDTF">2025-06-11T08:28:00Z</dcterms:created>
  <dcterms:modified xsi:type="dcterms:W3CDTF">2025-07-10T10:11:00Z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0x010100E334190091355D4AB015021075066202</vt:lpwstr>
  </property>
</Properties>
</file>