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4A13" w:rsidRPr="00DD3048" w:rsidRDefault="00F44A13" w:rsidP="00F44A13">
      <w:pPr>
        <w:spacing w:after="0" w:line="360" w:lineRule="auto"/>
        <w:rPr>
          <w:rFonts w:ascii="Arial" w:hAnsi="Arial" w:cs="Arial"/>
          <w:b/>
          <w:sz w:val="28"/>
          <w:szCs w:val="24"/>
        </w:rPr>
      </w:pPr>
      <w:r w:rsidRPr="00DD3048">
        <w:rPr>
          <w:rFonts w:ascii="Arial" w:hAnsi="Arial" w:cs="Arial"/>
          <w:b/>
          <w:sz w:val="28"/>
          <w:szCs w:val="24"/>
        </w:rPr>
        <w:t xml:space="preserve">Supplementary Materials </w:t>
      </w:r>
    </w:p>
    <w:p w:rsidR="00F44A13" w:rsidRPr="00DD3048" w:rsidRDefault="00F44A13" w:rsidP="00F44A13">
      <w:pPr>
        <w:spacing w:before="120" w:after="120" w:line="360" w:lineRule="auto"/>
        <w:rPr>
          <w:rFonts w:ascii="Arial" w:hAnsi="Arial" w:cs="Arial"/>
          <w:b/>
          <w:sz w:val="24"/>
        </w:rPr>
      </w:pPr>
      <w:r w:rsidRPr="00DD3048">
        <w:rPr>
          <w:rFonts w:ascii="Arial" w:hAnsi="Arial" w:cs="Arial"/>
          <w:b/>
          <w:sz w:val="24"/>
        </w:rPr>
        <w:t>Methods</w:t>
      </w:r>
    </w:p>
    <w:p w:rsidR="00F44A13" w:rsidRPr="00ED4276" w:rsidRDefault="00F44A13" w:rsidP="00F44A13">
      <w:pPr>
        <w:pStyle w:val="ListParagraph"/>
        <w:numPr>
          <w:ilvl w:val="0"/>
          <w:numId w:val="2"/>
        </w:numPr>
        <w:spacing w:before="120" w:after="120" w:line="360" w:lineRule="auto"/>
        <w:ind w:left="284" w:hanging="284"/>
        <w:rPr>
          <w:rFonts w:ascii="Arial" w:hAnsi="Arial" w:cs="Arial"/>
          <w:b/>
        </w:rPr>
      </w:pPr>
      <w:r w:rsidRPr="00ED4276">
        <w:rPr>
          <w:rFonts w:ascii="Arial" w:hAnsi="Arial" w:cs="Arial"/>
          <w:b/>
          <w:bCs/>
        </w:rPr>
        <w:t>Minimal important difference analysis for the Skindex-29 symptom domain</w:t>
      </w:r>
    </w:p>
    <w:p w:rsidR="00F44A13" w:rsidRPr="000B2D97" w:rsidRDefault="00F44A13" w:rsidP="00F44A13">
      <w:pPr>
        <w:spacing w:after="0" w:line="360" w:lineRule="auto"/>
        <w:rPr>
          <w:rFonts w:ascii="Arial" w:hAnsi="Arial" w:cs="Arial"/>
        </w:rPr>
      </w:pPr>
      <w:r w:rsidRPr="000B2D97">
        <w:rPr>
          <w:rFonts w:ascii="Arial" w:hAnsi="Arial" w:cs="Arial"/>
        </w:rPr>
        <w:t>To aid interpretation of the Skindex-29 symptoms results, analysis of the minimal important difference (MID) was prespecified and outlined in a separate MID analysis plan</w:t>
      </w:r>
      <w:r>
        <w:rPr>
          <w:rFonts w:ascii="Arial" w:hAnsi="Arial" w:cs="Arial"/>
        </w:rPr>
        <w:t xml:space="preserve">, which was finalised before database lock. </w:t>
      </w:r>
      <w:r w:rsidRPr="000B2D97">
        <w:rPr>
          <w:rFonts w:ascii="Arial" w:hAnsi="Arial" w:cs="Arial"/>
        </w:rPr>
        <w:t xml:space="preserve">At the time of data cut-off, there was no validated MID specific to the Skindex-29 instrument in the </w:t>
      </w:r>
      <w:r>
        <w:rPr>
          <w:rFonts w:ascii="Arial" w:hAnsi="Arial" w:cs="Arial"/>
        </w:rPr>
        <w:t>cutaneous T-cell lymphoma</w:t>
      </w:r>
      <w:r w:rsidRPr="000B2D97">
        <w:rPr>
          <w:rFonts w:ascii="Arial" w:hAnsi="Arial" w:cs="Arial"/>
        </w:rPr>
        <w:t xml:space="preserve"> population. Therefore,</w:t>
      </w:r>
      <w:r>
        <w:rPr>
          <w:rFonts w:ascii="Arial" w:hAnsi="Arial" w:cs="Arial"/>
        </w:rPr>
        <w:t xml:space="preserve"> </w:t>
      </w:r>
      <w:r w:rsidRPr="000B2D97">
        <w:rPr>
          <w:rFonts w:ascii="Arial" w:hAnsi="Arial" w:cs="Arial"/>
        </w:rPr>
        <w:t>the sponsor developed an analysis plan that employed distribution-based methods to calculate an</w:t>
      </w:r>
      <w:r>
        <w:rPr>
          <w:rFonts w:ascii="Arial" w:hAnsi="Arial" w:cs="Arial"/>
        </w:rPr>
        <w:t xml:space="preserve"> </w:t>
      </w:r>
      <w:r w:rsidRPr="000B2D97">
        <w:rPr>
          <w:rFonts w:ascii="Arial" w:hAnsi="Arial" w:cs="Arial"/>
        </w:rPr>
        <w:t>appropriate MID to be applied to the Skindex-29 data collected in the ALCANZA study. The</w:t>
      </w:r>
      <w:r>
        <w:rPr>
          <w:rFonts w:ascii="Arial" w:hAnsi="Arial" w:cs="Arial"/>
        </w:rPr>
        <w:t xml:space="preserve"> </w:t>
      </w:r>
      <w:r w:rsidRPr="000B2D97">
        <w:rPr>
          <w:rFonts w:ascii="Arial" w:hAnsi="Arial" w:cs="Arial"/>
        </w:rPr>
        <w:t>methods included in the MID analysis plan are consistent with the methods included in E</w:t>
      </w:r>
      <w:r>
        <w:rPr>
          <w:rFonts w:ascii="Arial" w:hAnsi="Arial" w:cs="Arial"/>
        </w:rPr>
        <w:t xml:space="preserve">uropean Medicines Agency </w:t>
      </w:r>
      <w:r w:rsidRPr="000B2D97">
        <w:rPr>
          <w:rFonts w:ascii="Arial" w:hAnsi="Arial" w:cs="Arial"/>
        </w:rPr>
        <w:t>guidance regarding the use of patient-reported outc</w:t>
      </w:r>
      <w:r>
        <w:rPr>
          <w:rFonts w:ascii="Arial" w:hAnsi="Arial" w:cs="Arial"/>
        </w:rPr>
        <w:t xml:space="preserve">ome measures in oncology studies. </w:t>
      </w:r>
      <w:r w:rsidRPr="000B2D97">
        <w:rPr>
          <w:rFonts w:ascii="Arial" w:hAnsi="Arial" w:cs="Arial"/>
        </w:rPr>
        <w:t>The</w:t>
      </w:r>
      <w:r>
        <w:rPr>
          <w:rFonts w:ascii="Arial" w:hAnsi="Arial" w:cs="Arial"/>
        </w:rPr>
        <w:t xml:space="preserve"> </w:t>
      </w:r>
      <w:r w:rsidRPr="000B2D97">
        <w:rPr>
          <w:rFonts w:ascii="Arial" w:hAnsi="Arial" w:cs="Arial"/>
        </w:rPr>
        <w:t>following methods were used to determine a range of acceptable MID estimates:</w:t>
      </w:r>
    </w:p>
    <w:p w:rsidR="00F44A13" w:rsidRPr="000B2D97" w:rsidRDefault="00F44A13" w:rsidP="00F44A13">
      <w:pPr>
        <w:spacing w:after="0" w:line="360" w:lineRule="auto"/>
        <w:ind w:left="284"/>
        <w:rPr>
          <w:rFonts w:ascii="Arial" w:hAnsi="Arial" w:cs="Arial"/>
        </w:rPr>
      </w:pPr>
      <w:r w:rsidRPr="000B2D97">
        <w:rPr>
          <w:rFonts w:ascii="Arial" w:hAnsi="Arial" w:cs="Arial"/>
        </w:rPr>
        <w:t>1. 0</w:t>
      </w:r>
      <w:r>
        <w:rPr>
          <w:rFonts w:ascii="Arial" w:hAnsi="Arial" w:cs="Arial"/>
        </w:rPr>
        <w:t>.</w:t>
      </w:r>
      <w:r w:rsidRPr="000B2D97">
        <w:rPr>
          <w:rFonts w:ascii="Arial" w:hAnsi="Arial" w:cs="Arial"/>
        </w:rPr>
        <w:t>5 standard deviation (</w:t>
      </w:r>
      <w:r>
        <w:rPr>
          <w:rFonts w:ascii="Arial" w:hAnsi="Arial" w:cs="Arial"/>
        </w:rPr>
        <w:t>SD</w:t>
      </w:r>
      <w:r w:rsidRPr="000B2D97">
        <w:rPr>
          <w:rFonts w:ascii="Arial" w:hAnsi="Arial" w:cs="Arial"/>
        </w:rPr>
        <w:t xml:space="preserve">) </w:t>
      </w:r>
      <w:r>
        <w:rPr>
          <w:rFonts w:ascii="Arial" w:hAnsi="Arial" w:cs="Arial"/>
        </w:rPr>
        <w:t>a</w:t>
      </w:r>
      <w:r w:rsidRPr="000B2D97">
        <w:rPr>
          <w:rFonts w:ascii="Arial" w:hAnsi="Arial" w:cs="Arial"/>
        </w:rPr>
        <w:t>pproach:</w:t>
      </w:r>
    </w:p>
    <w:p w:rsidR="00F44A13" w:rsidRDefault="00F44A13" w:rsidP="00F44A13">
      <w:pPr>
        <w:pStyle w:val="ListParagraph"/>
        <w:numPr>
          <w:ilvl w:val="0"/>
          <w:numId w:val="1"/>
        </w:numPr>
        <w:spacing w:after="0" w:line="360" w:lineRule="auto"/>
        <w:ind w:left="851" w:hanging="284"/>
        <w:rPr>
          <w:rFonts w:ascii="Arial" w:hAnsi="Arial" w:cs="Arial"/>
        </w:rPr>
      </w:pPr>
      <w:r w:rsidRPr="000B2D97">
        <w:rPr>
          <w:rFonts w:ascii="Arial" w:hAnsi="Arial" w:cs="Arial"/>
        </w:rPr>
        <w:t>0</w:t>
      </w:r>
      <w:r>
        <w:rPr>
          <w:rFonts w:ascii="Arial" w:hAnsi="Arial" w:cs="Arial"/>
        </w:rPr>
        <w:t>.</w:t>
      </w:r>
      <w:r w:rsidRPr="000B2D97">
        <w:rPr>
          <w:rFonts w:ascii="Arial" w:hAnsi="Arial" w:cs="Arial"/>
        </w:rPr>
        <w:t xml:space="preserve">5 </w:t>
      </w:r>
      <w:r>
        <w:rPr>
          <w:rFonts w:ascii="Arial" w:hAnsi="Arial" w:cs="Arial"/>
        </w:rPr>
        <w:t>SD</w:t>
      </w:r>
      <w:r w:rsidRPr="000B2D97">
        <w:rPr>
          <w:rFonts w:ascii="Arial" w:hAnsi="Arial" w:cs="Arial"/>
        </w:rPr>
        <w:t xml:space="preserve"> (score change); </w:t>
      </w:r>
      <w:r>
        <w:rPr>
          <w:rFonts w:ascii="Arial" w:hAnsi="Arial" w:cs="Arial"/>
        </w:rPr>
        <w:t>SD</w:t>
      </w:r>
      <w:r w:rsidRPr="000B2D97">
        <w:rPr>
          <w:rFonts w:ascii="Arial" w:hAnsi="Arial" w:cs="Arial"/>
        </w:rPr>
        <w:t xml:space="preserve"> (score change) was calculated as the </w:t>
      </w:r>
      <w:r>
        <w:rPr>
          <w:rFonts w:ascii="Arial" w:hAnsi="Arial" w:cs="Arial"/>
        </w:rPr>
        <w:t>SD</w:t>
      </w:r>
      <w:r w:rsidRPr="000B2D97">
        <w:rPr>
          <w:rFonts w:ascii="Arial" w:hAnsi="Arial" w:cs="Arial"/>
        </w:rPr>
        <w:t xml:space="preserve"> of maximum reduction from </w:t>
      </w:r>
      <w:r>
        <w:rPr>
          <w:rFonts w:ascii="Arial" w:hAnsi="Arial" w:cs="Arial"/>
        </w:rPr>
        <w:t>b</w:t>
      </w:r>
      <w:r w:rsidRPr="000B2D97">
        <w:rPr>
          <w:rFonts w:ascii="Arial" w:hAnsi="Arial" w:cs="Arial"/>
        </w:rPr>
        <w:t>aseline of Skindex-29 symptom domain for all patients across</w:t>
      </w:r>
      <w:r>
        <w:rPr>
          <w:rFonts w:ascii="Arial" w:hAnsi="Arial" w:cs="Arial"/>
        </w:rPr>
        <w:t xml:space="preserve"> different treatment arms</w:t>
      </w:r>
    </w:p>
    <w:p w:rsidR="00F44A13" w:rsidRPr="000B2D97" w:rsidRDefault="00F44A13" w:rsidP="00F44A13">
      <w:pPr>
        <w:spacing w:after="0" w:line="360" w:lineRule="auto"/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Pr="000B2D97">
        <w:rPr>
          <w:rFonts w:ascii="Arial" w:hAnsi="Arial" w:cs="Arial"/>
        </w:rPr>
        <w:t>Cohen’s moderate effect size:</w:t>
      </w:r>
    </w:p>
    <w:p w:rsidR="00F44A13" w:rsidRPr="000B2D97" w:rsidRDefault="00F44A13" w:rsidP="00F44A13">
      <w:pPr>
        <w:pStyle w:val="ListParagraph"/>
        <w:numPr>
          <w:ilvl w:val="0"/>
          <w:numId w:val="1"/>
        </w:numPr>
        <w:spacing w:after="0" w:line="360" w:lineRule="auto"/>
        <w:ind w:left="851" w:hanging="284"/>
        <w:rPr>
          <w:rFonts w:ascii="Arial" w:hAnsi="Arial" w:cs="Arial"/>
        </w:rPr>
      </w:pPr>
      <w:r w:rsidRPr="000B2D97">
        <w:rPr>
          <w:rFonts w:ascii="Arial" w:hAnsi="Arial" w:cs="Arial"/>
        </w:rPr>
        <w:t xml:space="preserve">X </w:t>
      </w:r>
      <w:proofErr w:type="spellStart"/>
      <w:r w:rsidRPr="000B2D97">
        <w:rPr>
          <w:rFonts w:ascii="Arial" w:hAnsi="Arial" w:cs="Arial"/>
        </w:rPr>
        <w:t>x</w:t>
      </w:r>
      <w:proofErr w:type="spellEnd"/>
      <w:r w:rsidRPr="000B2D9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SD</w:t>
      </w:r>
      <w:r w:rsidRPr="000B2D97">
        <w:rPr>
          <w:rFonts w:ascii="Arial" w:hAnsi="Arial" w:cs="Arial"/>
        </w:rPr>
        <w:t xml:space="preserve"> (baseline score); where X is 0</w:t>
      </w:r>
      <w:r>
        <w:rPr>
          <w:rFonts w:ascii="Arial" w:hAnsi="Arial" w:cs="Arial"/>
        </w:rPr>
        <w:t>.</w:t>
      </w:r>
      <w:r w:rsidRPr="000B2D97">
        <w:rPr>
          <w:rFonts w:ascii="Arial" w:hAnsi="Arial" w:cs="Arial"/>
        </w:rPr>
        <w:t xml:space="preserve">5 for moderate effect. </w:t>
      </w:r>
      <w:r>
        <w:rPr>
          <w:rFonts w:ascii="Arial" w:hAnsi="Arial" w:cs="Arial"/>
        </w:rPr>
        <w:t>SD</w:t>
      </w:r>
      <w:r w:rsidRPr="000B2D97">
        <w:rPr>
          <w:rFonts w:ascii="Arial" w:hAnsi="Arial" w:cs="Arial"/>
        </w:rPr>
        <w:t xml:space="preserve"> (baseline score) will be calculated using baseline Skindex-29 symptom domain scores for all patients </w:t>
      </w:r>
      <w:r>
        <w:rPr>
          <w:rFonts w:ascii="Arial" w:hAnsi="Arial" w:cs="Arial"/>
        </w:rPr>
        <w:t>across different treatment arms</w:t>
      </w:r>
    </w:p>
    <w:p w:rsidR="00F44A13" w:rsidRPr="000B2D97" w:rsidRDefault="00F44A13" w:rsidP="00F44A13">
      <w:pPr>
        <w:spacing w:after="0" w:line="360" w:lineRule="auto"/>
        <w:ind w:left="284"/>
        <w:rPr>
          <w:rFonts w:ascii="Arial" w:hAnsi="Arial" w:cs="Arial"/>
        </w:rPr>
      </w:pPr>
      <w:r w:rsidRPr="000B2D97">
        <w:rPr>
          <w:rFonts w:ascii="Arial" w:hAnsi="Arial" w:cs="Arial"/>
        </w:rPr>
        <w:t xml:space="preserve">3. </w:t>
      </w:r>
      <w:r>
        <w:rPr>
          <w:rFonts w:ascii="Arial" w:hAnsi="Arial" w:cs="Arial"/>
        </w:rPr>
        <w:t>Standard error of measurement (</w:t>
      </w:r>
      <w:r w:rsidRPr="000B2D97">
        <w:rPr>
          <w:rFonts w:ascii="Arial" w:hAnsi="Arial" w:cs="Arial"/>
        </w:rPr>
        <w:t>SEM</w:t>
      </w:r>
      <w:r>
        <w:rPr>
          <w:rFonts w:ascii="Arial" w:hAnsi="Arial" w:cs="Arial"/>
        </w:rPr>
        <w:t>)</w:t>
      </w:r>
      <w:r w:rsidRPr="000B2D97">
        <w:rPr>
          <w:rFonts w:ascii="Arial" w:hAnsi="Arial" w:cs="Arial"/>
        </w:rPr>
        <w:t>:</w:t>
      </w:r>
    </w:p>
    <w:p w:rsidR="00F44A13" w:rsidRPr="000B2D97" w:rsidRDefault="00F44A13" w:rsidP="00F44A13">
      <w:pPr>
        <w:spacing w:after="0" w:line="360" w:lineRule="auto"/>
        <w:ind w:left="284" w:firstLine="284"/>
        <w:rPr>
          <w:rFonts w:ascii="Arial" w:hAnsi="Arial" w:cs="Arial"/>
        </w:rPr>
      </w:pPr>
      <w:r w:rsidRPr="000B2D97">
        <w:rPr>
          <w:rFonts w:ascii="Arial" w:hAnsi="Arial" w:cs="Arial" w:hint="eastAsia"/>
        </w:rPr>
        <w:t>SEM</w:t>
      </w:r>
      <w:r>
        <w:rPr>
          <w:rFonts w:ascii="Arial" w:hAnsi="Arial" w:cs="Arial"/>
        </w:rPr>
        <w:t xml:space="preserve">=SD </w:t>
      </w:r>
      <w:r w:rsidRPr="000B2D97">
        <w:rPr>
          <w:rFonts w:ascii="Arial" w:hAnsi="Arial" w:cs="Arial" w:hint="eastAsia"/>
        </w:rPr>
        <w:t>(baseline score</w:t>
      </w:r>
      <w:proofErr w:type="gramStart"/>
      <w:r w:rsidRPr="000B2D97">
        <w:rPr>
          <w:rFonts w:ascii="Arial" w:hAnsi="Arial" w:cs="Arial" w:hint="eastAsia"/>
        </w:rPr>
        <w:t>)</w:t>
      </w:r>
      <w:r w:rsidRPr="000B2D97">
        <w:rPr>
          <w:rFonts w:ascii="Arial" w:hAnsi="Arial" w:cs="Arial" w:hint="eastAsia"/>
        </w:rPr>
        <w:t>√</w:t>
      </w:r>
      <w:proofErr w:type="gramEnd"/>
      <w:r w:rsidRPr="000B2D97">
        <w:rPr>
          <w:rFonts w:ascii="Arial" w:hAnsi="Arial" w:cs="Arial" w:hint="eastAsia"/>
        </w:rPr>
        <w:t xml:space="preserve">(1 </w:t>
      </w:r>
      <w:r w:rsidRPr="000B2D97">
        <w:rPr>
          <w:rFonts w:ascii="Arial" w:hAnsi="Arial" w:cs="Arial" w:hint="eastAsia"/>
        </w:rPr>
        <w:t>–</w:t>
      </w:r>
      <w:r w:rsidRPr="000B2D97">
        <w:rPr>
          <w:rFonts w:ascii="Arial" w:hAnsi="Arial" w:cs="Arial" w:hint="eastAsia"/>
        </w:rPr>
        <w:t xml:space="preserve"> </w:t>
      </w:r>
      <w:r w:rsidRPr="000B2D97">
        <w:rPr>
          <w:rFonts w:ascii="Arial" w:hAnsi="Arial" w:cs="Arial" w:hint="eastAsia"/>
        </w:rPr>
        <w:t>α</w:t>
      </w:r>
      <w:r w:rsidRPr="000B2D97">
        <w:rPr>
          <w:rFonts w:ascii="Arial" w:hAnsi="Arial" w:cs="Arial" w:hint="eastAsia"/>
        </w:rPr>
        <w:t>)</w:t>
      </w:r>
      <w:r>
        <w:rPr>
          <w:rFonts w:ascii="Arial" w:hAnsi="Arial" w:cs="Arial"/>
        </w:rPr>
        <w:t>.</w:t>
      </w:r>
    </w:p>
    <w:p w:rsidR="00F44A13" w:rsidRPr="000B2D97" w:rsidRDefault="00F44A13" w:rsidP="00F44A13">
      <w:pPr>
        <w:pStyle w:val="ListParagraph"/>
        <w:numPr>
          <w:ilvl w:val="0"/>
          <w:numId w:val="1"/>
        </w:numPr>
        <w:spacing w:after="0"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B2D97">
        <w:rPr>
          <w:rFonts w:ascii="Arial" w:hAnsi="Arial" w:cs="Arial"/>
        </w:rPr>
        <w:t>here α is Cronbach’s alpha, the reliability estimate of the Skindex-29 symptom domain at baseline for all patients across different treatment arms, which represents the degree to which items within a scale are inte</w:t>
      </w:r>
      <w:r>
        <w:rPr>
          <w:rFonts w:ascii="Arial" w:hAnsi="Arial" w:cs="Arial"/>
        </w:rPr>
        <w:t>r-correlated with one another</w:t>
      </w:r>
    </w:p>
    <w:p w:rsidR="00F44A13" w:rsidRDefault="00F44A13" w:rsidP="00F44A13">
      <w:pPr>
        <w:spacing w:after="0" w:line="360" w:lineRule="auto"/>
        <w:ind w:left="284"/>
        <w:rPr>
          <w:rFonts w:ascii="Arial" w:hAnsi="Arial" w:cs="Arial"/>
        </w:rPr>
      </w:pPr>
      <w:r w:rsidRPr="000B2D97">
        <w:rPr>
          <w:rFonts w:ascii="Arial" w:hAnsi="Arial" w:cs="Arial"/>
        </w:rPr>
        <w:t xml:space="preserve">No imputation was used for any missing data for all </w:t>
      </w:r>
      <w:r>
        <w:rPr>
          <w:rFonts w:ascii="Arial" w:hAnsi="Arial" w:cs="Arial"/>
        </w:rPr>
        <w:t>three</w:t>
      </w:r>
      <w:r w:rsidRPr="000B2D97">
        <w:rPr>
          <w:rFonts w:ascii="Arial" w:hAnsi="Arial" w:cs="Arial"/>
        </w:rPr>
        <w:t xml:space="preserve"> methods.</w:t>
      </w: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</w:p>
    <w:p w:rsidR="00F44A13" w:rsidRDefault="00F44A13" w:rsidP="00F44A13">
      <w:pPr>
        <w:spacing w:after="0" w:line="360" w:lineRule="auto"/>
        <w:rPr>
          <w:rFonts w:ascii="Arial" w:hAnsi="Arial" w:cs="Arial"/>
        </w:rPr>
        <w:sectPr w:rsidR="00F44A13" w:rsidSect="00E842ED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F44A13" w:rsidRDefault="00F44A13" w:rsidP="00F44A13">
      <w:pPr>
        <w:spacing w:after="0" w:line="360" w:lineRule="auto"/>
        <w:rPr>
          <w:rFonts w:ascii="Arial" w:hAnsi="Arial" w:cs="Arial"/>
          <w:b/>
        </w:rPr>
      </w:pPr>
      <w:r w:rsidRPr="00FC3EE2">
        <w:rPr>
          <w:rFonts w:ascii="Arial" w:hAnsi="Arial" w:cs="Arial"/>
        </w:rPr>
        <w:lastRenderedPageBreak/>
        <w:t>Table S1</w:t>
      </w:r>
      <w:r w:rsidRPr="00FA2A14">
        <w:rPr>
          <w:rFonts w:ascii="Arial" w:hAnsi="Arial" w:cs="Arial"/>
          <w:b/>
        </w:rPr>
        <w:t xml:space="preserve"> </w:t>
      </w:r>
    </w:p>
    <w:p w:rsidR="00F44A13" w:rsidRDefault="00F44A13" w:rsidP="00F44A13">
      <w:pPr>
        <w:spacing w:after="0" w:line="360" w:lineRule="auto"/>
        <w:rPr>
          <w:rFonts w:ascii="Arial" w:hAnsi="Arial" w:cs="Arial"/>
        </w:rPr>
      </w:pPr>
      <w:r w:rsidRPr="00E63186">
        <w:rPr>
          <w:rFonts w:ascii="Arial" w:hAnsi="Arial" w:cs="Arial"/>
        </w:rPr>
        <w:t xml:space="preserve">Patient compliance with Skindex-29, FACT-G and </w:t>
      </w:r>
      <w:r>
        <w:rPr>
          <w:rFonts w:ascii="Arial" w:hAnsi="Arial" w:cs="Arial"/>
        </w:rPr>
        <w:t>EQ-5</w:t>
      </w:r>
      <w:r w:rsidRPr="00E63186">
        <w:rPr>
          <w:rFonts w:ascii="Arial" w:hAnsi="Arial" w:cs="Arial"/>
        </w:rPr>
        <w:t>) assessments over time</w:t>
      </w:r>
      <w:r>
        <w:rPr>
          <w:rFonts w:ascii="Arial" w:hAnsi="Arial" w:cs="Arial"/>
        </w:rPr>
        <w:t>.</w:t>
      </w:r>
    </w:p>
    <w:tbl>
      <w:tblPr>
        <w:tblStyle w:val="TableGrid"/>
        <w:tblpPr w:leftFromText="180" w:rightFromText="180" w:vertAnchor="page" w:horzAnchor="margin" w:tblpY="2215"/>
        <w:tblW w:w="140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46"/>
        <w:gridCol w:w="1093"/>
        <w:gridCol w:w="1093"/>
        <w:gridCol w:w="1093"/>
        <w:gridCol w:w="1093"/>
        <w:gridCol w:w="1093"/>
        <w:gridCol w:w="1093"/>
        <w:gridCol w:w="1093"/>
        <w:gridCol w:w="1093"/>
        <w:gridCol w:w="1093"/>
        <w:gridCol w:w="1093"/>
        <w:gridCol w:w="1093"/>
        <w:gridCol w:w="1093"/>
      </w:tblGrid>
      <w:tr w:rsidR="00F44A13" w:rsidRPr="00C50C16" w:rsidTr="009724F3">
        <w:tc>
          <w:tcPr>
            <w:tcW w:w="946" w:type="dxa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4372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</w:rPr>
              <w:t>Skindex-29</w:t>
            </w:r>
          </w:p>
        </w:tc>
        <w:tc>
          <w:tcPr>
            <w:tcW w:w="4372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</w:rPr>
              <w:t>FACT-G</w:t>
            </w:r>
          </w:p>
        </w:tc>
        <w:tc>
          <w:tcPr>
            <w:tcW w:w="4372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</w:rPr>
              <w:t>EQ-5D</w:t>
            </w:r>
          </w:p>
        </w:tc>
      </w:tr>
      <w:tr w:rsidR="00F44A13" w:rsidRPr="00C50C16" w:rsidTr="009724F3">
        <w:trPr>
          <w:trHeight w:val="589"/>
        </w:trPr>
        <w:tc>
          <w:tcPr>
            <w:tcW w:w="946" w:type="dxa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218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C50C16">
              <w:rPr>
                <w:rFonts w:ascii="Arial" w:hAnsi="Arial" w:cs="Arial"/>
              </w:rPr>
              <w:t>Brentuximab</w:t>
            </w:r>
            <w:proofErr w:type="spellEnd"/>
            <w:r w:rsidRPr="00C50C16">
              <w:rPr>
                <w:rFonts w:ascii="Arial" w:hAnsi="Arial" w:cs="Arial"/>
              </w:rPr>
              <w:t xml:space="preserve"> vedotin (</w:t>
            </w:r>
            <w:r w:rsidRPr="00830040">
              <w:rPr>
                <w:rFonts w:ascii="Arial" w:hAnsi="Arial" w:cs="Arial"/>
                <w:i/>
              </w:rPr>
              <w:t>n</w:t>
            </w:r>
            <w:r w:rsidR="00830040">
              <w:rPr>
                <w:rFonts w:ascii="Arial" w:hAnsi="Arial" w:cs="Arial"/>
                <w:i/>
              </w:rPr>
              <w:t xml:space="preserve"> </w:t>
            </w:r>
            <w:r>
              <w:rPr>
                <w:rFonts w:ascii="Arial" w:hAnsi="Arial" w:cs="Arial"/>
              </w:rPr>
              <w:t>=</w:t>
            </w:r>
            <w:r w:rsidR="00830040">
              <w:rPr>
                <w:rFonts w:ascii="Arial" w:hAnsi="Arial" w:cs="Arial"/>
              </w:rPr>
              <w:t xml:space="preserve"> </w:t>
            </w:r>
            <w:r w:rsidRPr="00C50C16">
              <w:rPr>
                <w:rFonts w:ascii="Arial" w:hAnsi="Arial" w:cs="Arial"/>
              </w:rPr>
              <w:t>64)</w:t>
            </w:r>
          </w:p>
        </w:tc>
        <w:tc>
          <w:tcPr>
            <w:tcW w:w="218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</w:rPr>
              <w:t xml:space="preserve">Methotrexate or </w:t>
            </w:r>
            <w:proofErr w:type="spellStart"/>
            <w:r w:rsidRPr="00C50C16">
              <w:rPr>
                <w:rFonts w:ascii="Arial" w:hAnsi="Arial" w:cs="Arial"/>
              </w:rPr>
              <w:t>bexarotene</w:t>
            </w:r>
            <w:proofErr w:type="spellEnd"/>
            <w:r w:rsidRPr="00C50C16">
              <w:rPr>
                <w:rFonts w:ascii="Arial" w:hAnsi="Arial" w:cs="Arial"/>
              </w:rPr>
              <w:t xml:space="preserve"> (</w:t>
            </w:r>
            <w:r w:rsidRPr="00830040">
              <w:rPr>
                <w:rFonts w:ascii="Arial" w:hAnsi="Arial" w:cs="Arial"/>
                <w:i/>
              </w:rPr>
              <w:t>n</w:t>
            </w:r>
            <w:r w:rsidR="0083004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=</w:t>
            </w:r>
            <w:r w:rsidR="00830040">
              <w:rPr>
                <w:rFonts w:ascii="Arial" w:hAnsi="Arial" w:cs="Arial"/>
              </w:rPr>
              <w:t xml:space="preserve"> </w:t>
            </w:r>
            <w:r w:rsidRPr="00C50C16">
              <w:rPr>
                <w:rFonts w:ascii="Arial" w:hAnsi="Arial" w:cs="Arial"/>
              </w:rPr>
              <w:t>64)</w:t>
            </w:r>
          </w:p>
        </w:tc>
        <w:tc>
          <w:tcPr>
            <w:tcW w:w="218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C50C16">
              <w:rPr>
                <w:rFonts w:ascii="Arial" w:hAnsi="Arial" w:cs="Arial"/>
              </w:rPr>
              <w:t>Brentuximab</w:t>
            </w:r>
            <w:proofErr w:type="spellEnd"/>
            <w:r w:rsidRPr="00C50C16">
              <w:rPr>
                <w:rFonts w:ascii="Arial" w:hAnsi="Arial" w:cs="Arial"/>
              </w:rPr>
              <w:t xml:space="preserve"> vedotin (</w:t>
            </w:r>
            <w:r w:rsidRPr="00830040">
              <w:rPr>
                <w:rFonts w:ascii="Arial" w:hAnsi="Arial" w:cs="Arial"/>
                <w:i/>
              </w:rPr>
              <w:t>n</w:t>
            </w:r>
            <w:r w:rsidR="0083004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=</w:t>
            </w:r>
            <w:r w:rsidR="00830040">
              <w:rPr>
                <w:rFonts w:ascii="Arial" w:hAnsi="Arial" w:cs="Arial"/>
              </w:rPr>
              <w:t xml:space="preserve"> </w:t>
            </w:r>
            <w:r w:rsidRPr="00C50C16">
              <w:rPr>
                <w:rFonts w:ascii="Arial" w:hAnsi="Arial" w:cs="Arial"/>
              </w:rPr>
              <w:t>64)</w:t>
            </w:r>
          </w:p>
        </w:tc>
        <w:tc>
          <w:tcPr>
            <w:tcW w:w="218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</w:rPr>
              <w:t xml:space="preserve">Methotrexate or </w:t>
            </w:r>
            <w:proofErr w:type="spellStart"/>
            <w:r w:rsidRPr="00C50C16">
              <w:rPr>
                <w:rFonts w:ascii="Arial" w:hAnsi="Arial" w:cs="Arial"/>
              </w:rPr>
              <w:t>bexarotene</w:t>
            </w:r>
            <w:proofErr w:type="spellEnd"/>
            <w:r w:rsidRPr="00C50C16">
              <w:rPr>
                <w:rFonts w:ascii="Arial" w:hAnsi="Arial" w:cs="Arial"/>
              </w:rPr>
              <w:t xml:space="preserve"> (</w:t>
            </w:r>
            <w:r w:rsidRPr="00830040">
              <w:rPr>
                <w:rFonts w:ascii="Arial" w:hAnsi="Arial" w:cs="Arial"/>
                <w:i/>
              </w:rPr>
              <w:t>n</w:t>
            </w:r>
            <w:r w:rsidR="0083004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=</w:t>
            </w:r>
            <w:r w:rsidR="00830040">
              <w:rPr>
                <w:rFonts w:ascii="Arial" w:hAnsi="Arial" w:cs="Arial"/>
              </w:rPr>
              <w:t xml:space="preserve"> </w:t>
            </w:r>
            <w:r w:rsidRPr="00C50C16">
              <w:rPr>
                <w:rFonts w:ascii="Arial" w:hAnsi="Arial" w:cs="Arial"/>
              </w:rPr>
              <w:t>64)</w:t>
            </w:r>
          </w:p>
        </w:tc>
        <w:tc>
          <w:tcPr>
            <w:tcW w:w="218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C50C16">
              <w:rPr>
                <w:rFonts w:ascii="Arial" w:hAnsi="Arial" w:cs="Arial"/>
              </w:rPr>
              <w:t>Brentuximab</w:t>
            </w:r>
            <w:proofErr w:type="spellEnd"/>
            <w:r w:rsidRPr="00C50C16">
              <w:rPr>
                <w:rFonts w:ascii="Arial" w:hAnsi="Arial" w:cs="Arial"/>
              </w:rPr>
              <w:t xml:space="preserve"> vedotin (</w:t>
            </w:r>
            <w:r w:rsidRPr="00830040">
              <w:rPr>
                <w:rFonts w:ascii="Arial" w:hAnsi="Arial" w:cs="Arial"/>
                <w:i/>
              </w:rPr>
              <w:t>n</w:t>
            </w:r>
            <w:r w:rsidR="0083004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=</w:t>
            </w:r>
            <w:r w:rsidR="00830040">
              <w:rPr>
                <w:rFonts w:ascii="Arial" w:hAnsi="Arial" w:cs="Arial"/>
              </w:rPr>
              <w:t xml:space="preserve"> </w:t>
            </w:r>
            <w:r w:rsidRPr="00C50C16">
              <w:rPr>
                <w:rFonts w:ascii="Arial" w:hAnsi="Arial" w:cs="Arial"/>
              </w:rPr>
              <w:t>64)</w:t>
            </w:r>
          </w:p>
        </w:tc>
        <w:tc>
          <w:tcPr>
            <w:tcW w:w="218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</w:rPr>
              <w:t xml:space="preserve">Methotrexate or </w:t>
            </w:r>
            <w:proofErr w:type="spellStart"/>
            <w:r w:rsidRPr="00C50C16">
              <w:rPr>
                <w:rFonts w:ascii="Arial" w:hAnsi="Arial" w:cs="Arial"/>
              </w:rPr>
              <w:t>bexarotene</w:t>
            </w:r>
            <w:proofErr w:type="spellEnd"/>
            <w:r w:rsidRPr="00C50C16">
              <w:rPr>
                <w:rFonts w:ascii="Arial" w:hAnsi="Arial" w:cs="Arial"/>
              </w:rPr>
              <w:t xml:space="preserve"> (</w:t>
            </w:r>
            <w:r w:rsidRPr="00830040">
              <w:rPr>
                <w:rFonts w:ascii="Arial" w:hAnsi="Arial" w:cs="Arial"/>
                <w:i/>
              </w:rPr>
              <w:t>n</w:t>
            </w:r>
            <w:r w:rsidR="0083004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=</w:t>
            </w:r>
            <w:r w:rsidR="00830040">
              <w:rPr>
                <w:rFonts w:ascii="Arial" w:hAnsi="Arial" w:cs="Arial"/>
              </w:rPr>
              <w:t xml:space="preserve"> </w:t>
            </w:r>
            <w:r w:rsidRPr="00C50C16">
              <w:rPr>
                <w:rFonts w:ascii="Arial" w:hAnsi="Arial" w:cs="Arial"/>
              </w:rPr>
              <w:t>64)</w:t>
            </w:r>
          </w:p>
        </w:tc>
      </w:tr>
      <w:tr w:rsidR="00F44A13" w:rsidRPr="001A3028" w:rsidTr="009724F3">
        <w:trPr>
          <w:trHeight w:val="600"/>
        </w:trPr>
        <w:tc>
          <w:tcPr>
            <w:tcW w:w="946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C51023" w:rsidRDefault="00F44A13" w:rsidP="009724F3">
            <w:pPr>
              <w:spacing w:line="360" w:lineRule="auto"/>
              <w:ind w:right="220"/>
              <w:rPr>
                <w:rFonts w:ascii="Arial" w:hAnsi="Arial" w:cs="Arial"/>
                <w:color w:val="000000"/>
              </w:rPr>
            </w:pPr>
            <w:r w:rsidRPr="00C51023">
              <w:rPr>
                <w:rFonts w:ascii="Arial" w:hAnsi="Arial" w:cs="Arial"/>
              </w:rPr>
              <w:t>Study visit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Expected, </w:t>
            </w:r>
            <w:r w:rsidRPr="00830040">
              <w:rPr>
                <w:rFonts w:ascii="Arial" w:hAnsi="Arial" w:cs="Arial"/>
                <w:i/>
              </w:rPr>
              <w:t>n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Received, </w:t>
            </w:r>
            <w:r w:rsidRPr="00830040">
              <w:rPr>
                <w:rFonts w:ascii="Arial" w:hAnsi="Arial" w:cs="Arial"/>
                <w:i/>
              </w:rPr>
              <w:t>n</w:t>
            </w:r>
            <w:r w:rsidRPr="001A3028"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Expected, </w:t>
            </w:r>
            <w:r w:rsidRPr="00830040">
              <w:rPr>
                <w:rFonts w:ascii="Arial" w:hAnsi="Arial" w:cs="Arial"/>
                <w:i/>
              </w:rPr>
              <w:t>n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Received, </w:t>
            </w:r>
            <w:r w:rsidRPr="00830040">
              <w:rPr>
                <w:rFonts w:ascii="Arial" w:hAnsi="Arial" w:cs="Arial"/>
                <w:i/>
              </w:rPr>
              <w:t>n</w:t>
            </w:r>
            <w:r w:rsidRPr="001A3028"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Expected, </w:t>
            </w:r>
            <w:r w:rsidRPr="00830040">
              <w:rPr>
                <w:rFonts w:ascii="Arial" w:hAnsi="Arial" w:cs="Arial"/>
                <w:i/>
              </w:rPr>
              <w:t>n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Received, </w:t>
            </w:r>
            <w:r w:rsidRPr="00830040">
              <w:rPr>
                <w:rFonts w:ascii="Arial" w:hAnsi="Arial" w:cs="Arial"/>
                <w:i/>
              </w:rPr>
              <w:t>n</w:t>
            </w:r>
            <w:r w:rsidRPr="001A3028"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Expected, </w:t>
            </w:r>
            <w:r w:rsidRPr="00830040">
              <w:rPr>
                <w:rFonts w:ascii="Arial" w:hAnsi="Arial" w:cs="Arial"/>
                <w:i/>
              </w:rPr>
              <w:t>n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Received, </w:t>
            </w:r>
            <w:r w:rsidRPr="00830040">
              <w:rPr>
                <w:rFonts w:ascii="Arial" w:hAnsi="Arial" w:cs="Arial"/>
                <w:i/>
              </w:rPr>
              <w:t>n</w:t>
            </w:r>
            <w:r w:rsidRPr="001A3028"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Expected, </w:t>
            </w:r>
            <w:r w:rsidRPr="00830040">
              <w:rPr>
                <w:rFonts w:ascii="Arial" w:hAnsi="Arial" w:cs="Arial"/>
                <w:i/>
              </w:rPr>
              <w:t>n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Received, </w:t>
            </w:r>
            <w:r w:rsidRPr="00830040">
              <w:rPr>
                <w:rFonts w:ascii="Arial" w:hAnsi="Arial" w:cs="Arial"/>
                <w:i/>
              </w:rPr>
              <w:t>n</w:t>
            </w:r>
            <w:r w:rsidRPr="001A3028">
              <w:rPr>
                <w:rFonts w:ascii="Arial" w:hAnsi="Arial" w:cs="Arial"/>
              </w:rPr>
              <w:t xml:space="preserve"> (%)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Expected, </w:t>
            </w:r>
            <w:r w:rsidRPr="00830040">
              <w:rPr>
                <w:rFonts w:ascii="Arial" w:hAnsi="Arial" w:cs="Arial"/>
                <w:i/>
              </w:rPr>
              <w:t>n</w:t>
            </w:r>
          </w:p>
        </w:tc>
        <w:tc>
          <w:tcPr>
            <w:tcW w:w="1093" w:type="dxa"/>
            <w:tcBorders>
              <w:top w:val="single" w:sz="12" w:space="0" w:color="auto"/>
              <w:bottom w:val="single" w:sz="8" w:space="0" w:color="auto"/>
            </w:tcBorders>
          </w:tcPr>
          <w:p w:rsidR="00F44A13" w:rsidRPr="001A3028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1A3028">
              <w:rPr>
                <w:rFonts w:ascii="Arial" w:hAnsi="Arial" w:cs="Arial"/>
              </w:rPr>
              <w:t xml:space="preserve">Received, </w:t>
            </w:r>
            <w:r w:rsidRPr="00830040">
              <w:rPr>
                <w:rFonts w:ascii="Arial" w:hAnsi="Arial" w:cs="Arial"/>
                <w:i/>
              </w:rPr>
              <w:t>n</w:t>
            </w:r>
            <w:bookmarkStart w:id="0" w:name="_GoBack"/>
            <w:bookmarkEnd w:id="0"/>
            <w:r w:rsidRPr="001A3028">
              <w:rPr>
                <w:rFonts w:ascii="Arial" w:hAnsi="Arial" w:cs="Arial"/>
              </w:rPr>
              <w:t xml:space="preserve"> (%)</w:t>
            </w:r>
          </w:p>
        </w:tc>
      </w:tr>
      <w:tr w:rsidR="00F44A13" w:rsidRPr="00C50C16" w:rsidTr="009724F3">
        <w:tc>
          <w:tcPr>
            <w:tcW w:w="946" w:type="dxa"/>
            <w:tcBorders>
              <w:top w:val="single" w:sz="8" w:space="0" w:color="auto"/>
            </w:tcBorders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C1D1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64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63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63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62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64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63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63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62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64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63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63</w:t>
            </w:r>
          </w:p>
        </w:tc>
        <w:tc>
          <w:tcPr>
            <w:tcW w:w="1093" w:type="dxa"/>
            <w:tcBorders>
              <w:top w:val="single" w:sz="8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60 (95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2)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C2D1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58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50 (87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58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51 (89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5)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55 (91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50 (87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C4D1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52 (94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5)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34 (94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53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36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53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35 (97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2)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C6D1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42 (91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3)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28 (93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3)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43 (93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5)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28 (93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3)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46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42 (91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3)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27 (90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0)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C8D1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39 (95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1)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16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39 (95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1)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15 (93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8)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41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39 (95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1)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16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15 (93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8)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C10D1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38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37 (97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15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38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37 (97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15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38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36 (94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15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15 (100)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C12D1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32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27 (84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10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33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28 (84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8)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10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33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28 (84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8)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10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10 (100)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C14D1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27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27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27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27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 (100)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C16D1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23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22 (95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 (80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23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21 (91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3)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 (100)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23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22 (95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 (100)</w:t>
            </w:r>
          </w:p>
        </w:tc>
      </w:tr>
      <w:tr w:rsidR="00F44A13" w:rsidRPr="00C50C16" w:rsidTr="009724F3">
        <w:tc>
          <w:tcPr>
            <w:tcW w:w="946" w:type="dxa"/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1023">
              <w:rPr>
                <w:rFonts w:ascii="Arial" w:hAnsi="Arial" w:cs="Arial"/>
                <w:color w:val="000000"/>
              </w:rPr>
              <w:t>EOT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47 (82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5)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42 (70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0)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57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47 (82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5)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43 (71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57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47 (82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5)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60</w:t>
            </w:r>
          </w:p>
        </w:tc>
        <w:tc>
          <w:tcPr>
            <w:tcW w:w="1093" w:type="dxa"/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43 (71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7)</w:t>
            </w:r>
          </w:p>
        </w:tc>
      </w:tr>
      <w:tr w:rsidR="00F44A13" w:rsidRPr="00C50C16" w:rsidTr="009724F3">
        <w:tc>
          <w:tcPr>
            <w:tcW w:w="946" w:type="dxa"/>
            <w:tcBorders>
              <w:bottom w:val="single" w:sz="12" w:space="0" w:color="auto"/>
            </w:tcBorders>
          </w:tcPr>
          <w:p w:rsidR="00F44A13" w:rsidRPr="00C51023" w:rsidRDefault="00F44A13" w:rsidP="009724F3">
            <w:pPr>
              <w:spacing w:line="360" w:lineRule="auto"/>
              <w:rPr>
                <w:rFonts w:ascii="Arial" w:hAnsi="Arial" w:cs="Arial"/>
                <w:color w:val="000000"/>
              </w:rPr>
            </w:pPr>
            <w:r w:rsidRPr="00C51023">
              <w:rPr>
                <w:rFonts w:ascii="Arial" w:hAnsi="Arial" w:cs="Arial"/>
                <w:color w:val="000000"/>
              </w:rPr>
              <w:t>Total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64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63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64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62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9)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64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63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64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>62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9)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64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63 (98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4)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64</w:t>
            </w:r>
          </w:p>
        </w:tc>
        <w:tc>
          <w:tcPr>
            <w:tcW w:w="1093" w:type="dxa"/>
            <w:tcBorders>
              <w:bottom w:val="single" w:sz="12" w:space="0" w:color="auto"/>
            </w:tcBorders>
          </w:tcPr>
          <w:p w:rsidR="00F44A13" w:rsidRPr="00C50C16" w:rsidRDefault="00F44A13" w:rsidP="009724F3">
            <w:pPr>
              <w:spacing w:line="360" w:lineRule="auto"/>
              <w:rPr>
                <w:rFonts w:ascii="Arial" w:hAnsi="Arial" w:cs="Arial"/>
              </w:rPr>
            </w:pPr>
            <w:r w:rsidRPr="00C50C16">
              <w:rPr>
                <w:rFonts w:ascii="Arial" w:hAnsi="Arial" w:cs="Arial"/>
                <w:color w:val="000000"/>
              </w:rPr>
              <w:t xml:space="preserve"> 62 (96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C50C16">
              <w:rPr>
                <w:rFonts w:ascii="Arial" w:hAnsi="Arial" w:cs="Arial"/>
                <w:color w:val="000000"/>
              </w:rPr>
              <w:t>9)</w:t>
            </w:r>
          </w:p>
        </w:tc>
      </w:tr>
    </w:tbl>
    <w:p w:rsidR="00F44A13" w:rsidRDefault="00F44A13" w:rsidP="00F44A13">
      <w:pPr>
        <w:spacing w:before="120" w:after="0" w:line="360" w:lineRule="auto"/>
        <w:rPr>
          <w:rFonts w:ascii="Arial" w:hAnsi="Arial" w:cs="Arial"/>
          <w:szCs w:val="20"/>
        </w:rPr>
      </w:pPr>
      <w:r w:rsidRPr="00C50C16">
        <w:rPr>
          <w:rFonts w:ascii="Arial" w:hAnsi="Arial" w:cs="Arial"/>
          <w:szCs w:val="20"/>
        </w:rPr>
        <w:t xml:space="preserve">C, cycle; D, day; </w:t>
      </w:r>
      <w:r>
        <w:rPr>
          <w:rFonts w:ascii="Arial" w:hAnsi="Arial" w:cs="Arial"/>
          <w:szCs w:val="20"/>
        </w:rPr>
        <w:t xml:space="preserve">EOT, end of treatment; FACT-G, </w:t>
      </w:r>
      <w:r w:rsidRPr="000876EE">
        <w:rPr>
          <w:rFonts w:ascii="Arial" w:hAnsi="Arial" w:cs="Arial"/>
          <w:szCs w:val="20"/>
        </w:rPr>
        <w:t>Functional Assessment of Cancer Therapy-General</w:t>
      </w:r>
      <w:r>
        <w:rPr>
          <w:rFonts w:ascii="Arial" w:hAnsi="Arial" w:cs="Arial"/>
          <w:szCs w:val="20"/>
        </w:rPr>
        <w:t xml:space="preserve">; EQ-5D, </w:t>
      </w:r>
      <w:proofErr w:type="spellStart"/>
      <w:r w:rsidRPr="000876EE">
        <w:rPr>
          <w:rFonts w:ascii="Arial" w:hAnsi="Arial" w:cs="Arial"/>
          <w:szCs w:val="20"/>
        </w:rPr>
        <w:t>Euro</w:t>
      </w:r>
      <w:r>
        <w:rPr>
          <w:rFonts w:ascii="Arial" w:hAnsi="Arial" w:cs="Arial"/>
          <w:szCs w:val="20"/>
        </w:rPr>
        <w:t>Qol</w:t>
      </w:r>
      <w:proofErr w:type="spellEnd"/>
      <w:r w:rsidRPr="000876EE">
        <w:rPr>
          <w:rFonts w:ascii="Arial" w:hAnsi="Arial" w:cs="Arial"/>
          <w:szCs w:val="20"/>
        </w:rPr>
        <w:t xml:space="preserve"> 5-Dimension</w:t>
      </w:r>
      <w:r>
        <w:rPr>
          <w:rFonts w:ascii="Arial" w:hAnsi="Arial" w:cs="Arial"/>
          <w:szCs w:val="20"/>
        </w:rPr>
        <w:t>.</w:t>
      </w:r>
      <w:r>
        <w:rPr>
          <w:rFonts w:ascii="Arial" w:hAnsi="Arial" w:cs="Arial"/>
          <w:szCs w:val="20"/>
        </w:rPr>
        <w:br/>
      </w:r>
      <w:r w:rsidRPr="00C50C16">
        <w:rPr>
          <w:rFonts w:ascii="Arial" w:hAnsi="Arial" w:cs="Arial"/>
          <w:szCs w:val="20"/>
        </w:rPr>
        <w:t>Compliance is defined as the number of forms filled out as a proportion of those anticipated. The anticipated number of forms is the total number which should have been filled out by each subject according to the protocol schedule.</w:t>
      </w:r>
      <w:r>
        <w:rPr>
          <w:rFonts w:ascii="Arial" w:hAnsi="Arial" w:cs="Arial"/>
          <w:szCs w:val="20"/>
        </w:rPr>
        <w:t xml:space="preserve"> </w:t>
      </w:r>
    </w:p>
    <w:p w:rsidR="00F44A13" w:rsidRPr="00C50C16" w:rsidRDefault="00F44A13" w:rsidP="00F44A13">
      <w:pPr>
        <w:spacing w:before="120" w:after="0" w:line="360" w:lineRule="auto"/>
        <w:rPr>
          <w:rFonts w:ascii="Arial" w:hAnsi="Arial" w:cs="Arial"/>
          <w:sz w:val="24"/>
        </w:rPr>
        <w:sectPr w:rsidR="00F44A13" w:rsidRPr="00C50C16" w:rsidSect="003C5E11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F44A13" w:rsidRDefault="00F44A13" w:rsidP="00F44A13">
      <w:pPr>
        <w:spacing w:after="0" w:line="360" w:lineRule="auto"/>
        <w:rPr>
          <w:rFonts w:ascii="Arial" w:hAnsi="Arial" w:cs="Arial"/>
          <w:b/>
          <w:sz w:val="21"/>
        </w:rPr>
      </w:pPr>
      <w:r>
        <w:rPr>
          <w:noProof/>
          <w:lang w:val="en-US"/>
        </w:rPr>
        <w:lastRenderedPageBreak/>
        <w:drawing>
          <wp:inline distT="0" distB="0" distL="0" distR="0" wp14:anchorId="3991F10C" wp14:editId="2ED928C9">
            <wp:extent cx="5731510" cy="2982595"/>
            <wp:effectExtent l="0" t="0" r="2540" b="825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8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4A13" w:rsidRPr="00A462F8" w:rsidRDefault="00F44A13" w:rsidP="00F44A13">
      <w:pPr>
        <w:spacing w:after="0" w:line="360" w:lineRule="auto"/>
        <w:rPr>
          <w:rFonts w:ascii="Arial" w:eastAsia="Times New Roman" w:hAnsi="Arial" w:cs="Arial"/>
          <w:szCs w:val="21"/>
          <w:lang w:val="en" w:eastAsia="en-US"/>
        </w:rPr>
      </w:pPr>
      <w:r w:rsidRPr="00592FCF">
        <w:rPr>
          <w:rFonts w:ascii="Arial" w:hAnsi="Arial" w:cs="Arial"/>
        </w:rPr>
        <w:t>Fig</w:t>
      </w:r>
      <w:r>
        <w:rPr>
          <w:rFonts w:ascii="Arial" w:hAnsi="Arial" w:cs="Arial"/>
        </w:rPr>
        <w:t>.</w:t>
      </w:r>
      <w:r w:rsidRPr="00592FCF">
        <w:rPr>
          <w:rFonts w:ascii="Arial" w:hAnsi="Arial" w:cs="Arial"/>
        </w:rPr>
        <w:t xml:space="preserve"> S1.</w:t>
      </w:r>
      <w:r w:rsidRPr="00FD2CC5">
        <w:rPr>
          <w:rFonts w:ascii="Arial" w:hAnsi="Arial" w:cs="Arial"/>
          <w:b/>
        </w:rPr>
        <w:t xml:space="preserve"> </w:t>
      </w:r>
      <w:r w:rsidRPr="005E3F26">
        <w:rPr>
          <w:rFonts w:ascii="Arial" w:hAnsi="Arial" w:cs="Arial"/>
        </w:rPr>
        <w:t>Mean change from baseline in Functional Assessment of Cancer Therapy-General (FACT-G) scores: (</w:t>
      </w:r>
      <w:r>
        <w:rPr>
          <w:rFonts w:ascii="Arial" w:hAnsi="Arial" w:cs="Arial"/>
        </w:rPr>
        <w:t>A</w:t>
      </w:r>
      <w:r w:rsidRPr="005E3F26">
        <w:rPr>
          <w:rFonts w:ascii="Arial" w:hAnsi="Arial" w:cs="Arial"/>
        </w:rPr>
        <w:t>) emotional subscale, (</w:t>
      </w:r>
      <w:r>
        <w:rPr>
          <w:rFonts w:ascii="Arial" w:hAnsi="Arial" w:cs="Arial"/>
        </w:rPr>
        <w:t>B</w:t>
      </w:r>
      <w:r w:rsidRPr="005E3F26">
        <w:rPr>
          <w:rFonts w:ascii="Arial" w:hAnsi="Arial" w:cs="Arial"/>
        </w:rPr>
        <w:t>) social/family subscale, (</w:t>
      </w:r>
      <w:r>
        <w:rPr>
          <w:rFonts w:ascii="Arial" w:hAnsi="Arial" w:cs="Arial"/>
        </w:rPr>
        <w:t>C</w:t>
      </w:r>
      <w:r w:rsidRPr="005E3F26">
        <w:rPr>
          <w:rFonts w:ascii="Arial" w:hAnsi="Arial" w:cs="Arial"/>
        </w:rPr>
        <w:t>) physical subscale and (</w:t>
      </w:r>
      <w:r>
        <w:rPr>
          <w:rFonts w:ascii="Arial" w:hAnsi="Arial" w:cs="Arial"/>
        </w:rPr>
        <w:t>D</w:t>
      </w:r>
      <w:r w:rsidRPr="005E3F26">
        <w:rPr>
          <w:rFonts w:ascii="Arial" w:hAnsi="Arial" w:cs="Arial"/>
        </w:rPr>
        <w:t>) functional subscale.</w:t>
      </w:r>
      <w:r>
        <w:rPr>
          <w:rFonts w:ascii="Arial" w:hAnsi="Arial" w:cs="Arial"/>
        </w:rPr>
        <w:t xml:space="preserve"> </w:t>
      </w:r>
      <w:r>
        <w:rPr>
          <w:rFonts w:ascii="Arial" w:eastAsia="Times New Roman" w:hAnsi="Arial" w:cs="Arial"/>
          <w:bCs/>
          <w:lang w:val="en-US" w:eastAsia="en-US"/>
        </w:rPr>
        <w:t>B</w:t>
      </w:r>
      <w:r w:rsidRPr="00A462F8">
        <w:rPr>
          <w:rFonts w:ascii="Arial" w:eastAsia="Times New Roman" w:hAnsi="Arial" w:cs="Arial"/>
          <w:bCs/>
          <w:lang w:val="en-US" w:eastAsia="en-US"/>
        </w:rPr>
        <w:t xml:space="preserve">ar represents mean ± </w:t>
      </w:r>
      <w:r w:rsidRPr="00A462F8">
        <w:rPr>
          <w:rFonts w:ascii="Arial" w:eastAsia="Times New Roman" w:hAnsi="Arial" w:cs="Arial"/>
          <w:szCs w:val="21"/>
          <w:lang w:val="en" w:eastAsia="en-US"/>
        </w:rPr>
        <w:t>standard deviation</w:t>
      </w:r>
      <w:r w:rsidRPr="00A462F8">
        <w:rPr>
          <w:rFonts w:ascii="Arial" w:eastAsia="Times New Roman" w:hAnsi="Arial" w:cs="Arial"/>
          <w:bCs/>
          <w:szCs w:val="21"/>
          <w:lang w:val="en-US" w:eastAsia="en-US"/>
        </w:rPr>
        <w:t xml:space="preserve">. </w:t>
      </w:r>
      <w:r w:rsidRPr="00A462F8">
        <w:rPr>
          <w:rFonts w:ascii="Arial" w:eastAsia="Times New Roman" w:hAnsi="Arial" w:cs="Arial"/>
          <w:szCs w:val="21"/>
          <w:lang w:val="en" w:eastAsia="en-US"/>
        </w:rPr>
        <w:t xml:space="preserve">Higher scores indicate a better </w:t>
      </w:r>
      <w:r>
        <w:rPr>
          <w:rFonts w:ascii="Arial" w:eastAsia="Times New Roman" w:hAnsi="Arial" w:cs="Arial"/>
          <w:szCs w:val="21"/>
          <w:lang w:val="en" w:eastAsia="en-US"/>
        </w:rPr>
        <w:t>quality of life</w:t>
      </w:r>
      <w:r w:rsidRPr="00A462F8">
        <w:rPr>
          <w:rFonts w:ascii="Arial" w:eastAsia="Times New Roman" w:hAnsi="Arial" w:cs="Arial"/>
          <w:szCs w:val="21"/>
          <w:lang w:val="en" w:eastAsia="en-US"/>
        </w:rPr>
        <w:t>.</w:t>
      </w:r>
      <w:r>
        <w:rPr>
          <w:rFonts w:ascii="Arial" w:eastAsia="Times New Roman" w:hAnsi="Arial" w:cs="Arial"/>
          <w:szCs w:val="21"/>
          <w:lang w:val="en" w:eastAsia="en-US"/>
        </w:rPr>
        <w:t xml:space="preserve"> </w:t>
      </w:r>
      <w:r w:rsidRPr="00A462F8">
        <w:rPr>
          <w:rFonts w:ascii="Arial" w:eastAsia="Times New Roman" w:hAnsi="Arial" w:cs="Arial"/>
          <w:szCs w:val="21"/>
          <w:lang w:val="en" w:eastAsia="en-US"/>
        </w:rPr>
        <w:t xml:space="preserve">C, cycle; D, day; </w:t>
      </w:r>
      <w:r>
        <w:rPr>
          <w:rFonts w:ascii="Arial" w:eastAsia="Times New Roman" w:hAnsi="Arial" w:cs="Arial"/>
          <w:szCs w:val="21"/>
          <w:lang w:val="en" w:eastAsia="en-US"/>
        </w:rPr>
        <w:t>EOT, end of treatment</w:t>
      </w:r>
      <w:r w:rsidRPr="00A462F8">
        <w:rPr>
          <w:rFonts w:ascii="Arial" w:eastAsia="Times New Roman" w:hAnsi="Arial" w:cs="Arial"/>
          <w:szCs w:val="21"/>
          <w:lang w:val="en" w:eastAsia="en-US"/>
        </w:rPr>
        <w:t>.</w:t>
      </w:r>
    </w:p>
    <w:p w:rsidR="00F44A13" w:rsidRDefault="00F44A13" w:rsidP="00F44A13">
      <w:pPr>
        <w:spacing w:after="0" w:line="360" w:lineRule="auto"/>
        <w:rPr>
          <w:rFonts w:ascii="Arial" w:eastAsia="Times New Roman" w:hAnsi="Arial" w:cs="Arial"/>
          <w:sz w:val="21"/>
          <w:szCs w:val="21"/>
          <w:lang w:val="en" w:eastAsia="en-US"/>
        </w:rPr>
      </w:pPr>
      <w:r>
        <w:rPr>
          <w:rFonts w:ascii="Arial" w:eastAsia="Times New Roman" w:hAnsi="Arial" w:cs="Arial"/>
          <w:sz w:val="21"/>
          <w:szCs w:val="21"/>
          <w:lang w:val="en" w:eastAsia="en-US"/>
        </w:rPr>
        <w:br w:type="page"/>
      </w:r>
    </w:p>
    <w:p w:rsidR="00F44A13" w:rsidRDefault="00F44A13" w:rsidP="00F44A13">
      <w:pPr>
        <w:spacing w:after="0" w:line="360" w:lineRule="auto"/>
        <w:rPr>
          <w:rFonts w:ascii="Arial" w:eastAsia="Times New Roman" w:hAnsi="Arial" w:cs="Arial"/>
          <w:bCs/>
          <w:sz w:val="21"/>
          <w:lang w:val="en-US" w:eastAsia="en-US"/>
        </w:rPr>
      </w:pPr>
      <w:r>
        <w:rPr>
          <w:noProof/>
          <w:lang w:val="en-US"/>
        </w:rPr>
        <w:lastRenderedPageBreak/>
        <w:drawing>
          <wp:inline distT="0" distB="0" distL="0" distR="0" wp14:anchorId="5BFE6F2D" wp14:editId="4AFBE81D">
            <wp:extent cx="5235373" cy="7498080"/>
            <wp:effectExtent l="0" t="0" r="3810" b="762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6053" cy="7513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151D" w:rsidRDefault="00F44A13" w:rsidP="00F44A13">
      <w:pPr>
        <w:spacing w:after="0" w:line="360" w:lineRule="auto"/>
      </w:pPr>
      <w:r w:rsidRPr="00592FCF">
        <w:rPr>
          <w:rFonts w:ascii="Arial" w:hAnsi="Arial" w:cs="Arial"/>
        </w:rPr>
        <w:t>Fig</w:t>
      </w:r>
      <w:r>
        <w:rPr>
          <w:rFonts w:ascii="Arial" w:hAnsi="Arial" w:cs="Arial"/>
        </w:rPr>
        <w:t>.</w:t>
      </w:r>
      <w:r w:rsidRPr="00592FCF">
        <w:rPr>
          <w:rFonts w:ascii="Arial" w:hAnsi="Arial" w:cs="Arial"/>
        </w:rPr>
        <w:t xml:space="preserve"> S2.</w:t>
      </w:r>
      <w:r w:rsidRPr="00FD2CC5">
        <w:rPr>
          <w:rFonts w:ascii="Arial" w:hAnsi="Arial" w:cs="Arial"/>
          <w:b/>
        </w:rPr>
        <w:t xml:space="preserve"> </w:t>
      </w:r>
      <w:r w:rsidRPr="005E3F26">
        <w:rPr>
          <w:rFonts w:ascii="Arial" w:hAnsi="Arial" w:cs="Arial"/>
        </w:rPr>
        <w:t>Mean change from baseline in total scores for (</w:t>
      </w:r>
      <w:r>
        <w:rPr>
          <w:rFonts w:ascii="Arial" w:hAnsi="Arial" w:cs="Arial"/>
        </w:rPr>
        <w:t>A</w:t>
      </w:r>
      <w:r w:rsidRPr="005E3F26">
        <w:rPr>
          <w:rFonts w:ascii="Arial" w:hAnsi="Arial" w:cs="Arial"/>
        </w:rPr>
        <w:t>) Skindex-29, (</w:t>
      </w:r>
      <w:r>
        <w:rPr>
          <w:rFonts w:ascii="Arial" w:hAnsi="Arial" w:cs="Arial"/>
        </w:rPr>
        <w:t>B</w:t>
      </w:r>
      <w:r w:rsidRPr="005E3F26">
        <w:rPr>
          <w:rFonts w:ascii="Arial" w:hAnsi="Arial" w:cs="Arial"/>
        </w:rPr>
        <w:t>) Functional Assessment of Cancer Therapy-General and (</w:t>
      </w:r>
      <w:r>
        <w:rPr>
          <w:rFonts w:ascii="Arial" w:hAnsi="Arial" w:cs="Arial"/>
        </w:rPr>
        <w:t>C</w:t>
      </w:r>
      <w:r w:rsidRPr="005E3F26">
        <w:rPr>
          <w:rFonts w:ascii="Arial" w:hAnsi="Arial" w:cs="Arial"/>
        </w:rPr>
        <w:t xml:space="preserve">) </w:t>
      </w:r>
      <w:proofErr w:type="spellStart"/>
      <w:r w:rsidRPr="005E3F26">
        <w:rPr>
          <w:rFonts w:ascii="Arial" w:hAnsi="Arial" w:cs="Arial"/>
        </w:rPr>
        <w:t>Euro</w:t>
      </w:r>
      <w:r>
        <w:rPr>
          <w:rFonts w:ascii="Arial" w:hAnsi="Arial" w:cs="Arial"/>
        </w:rPr>
        <w:t>QoL</w:t>
      </w:r>
      <w:proofErr w:type="spellEnd"/>
      <w:r>
        <w:rPr>
          <w:rFonts w:ascii="Arial" w:hAnsi="Arial" w:cs="Arial"/>
        </w:rPr>
        <w:t xml:space="preserve"> 5-Dimension</w:t>
      </w:r>
      <w:r w:rsidRPr="005E3F26">
        <w:rPr>
          <w:rFonts w:ascii="Arial" w:hAnsi="Arial" w:cs="Arial"/>
        </w:rPr>
        <w:t xml:space="preserve"> in patients with and without peripheral neuropathy.</w:t>
      </w:r>
      <w:r>
        <w:rPr>
          <w:rFonts w:ascii="Arial" w:hAnsi="Arial" w:cs="Arial"/>
        </w:rPr>
        <w:t xml:space="preserve"> B</w:t>
      </w:r>
      <w:proofErr w:type="spellStart"/>
      <w:r w:rsidRPr="00A462F8">
        <w:rPr>
          <w:rFonts w:ascii="Arial" w:eastAsia="Times New Roman" w:hAnsi="Arial" w:cs="Arial"/>
          <w:bCs/>
          <w:lang w:val="en-US" w:eastAsia="en-US"/>
        </w:rPr>
        <w:t>ar</w:t>
      </w:r>
      <w:proofErr w:type="spellEnd"/>
      <w:r w:rsidRPr="00A462F8">
        <w:rPr>
          <w:rFonts w:ascii="Arial" w:eastAsia="Times New Roman" w:hAnsi="Arial" w:cs="Arial"/>
          <w:bCs/>
          <w:lang w:val="en-US" w:eastAsia="en-US"/>
        </w:rPr>
        <w:t xml:space="preserve"> represents mean ± </w:t>
      </w:r>
      <w:r w:rsidRPr="00A462F8">
        <w:rPr>
          <w:rFonts w:ascii="Arial" w:eastAsia="Times New Roman" w:hAnsi="Arial" w:cs="Arial"/>
          <w:lang w:val="en" w:eastAsia="en-US"/>
        </w:rPr>
        <w:t>standard deviation</w:t>
      </w:r>
      <w:r w:rsidRPr="00A462F8">
        <w:rPr>
          <w:rFonts w:ascii="Arial" w:eastAsia="Times New Roman" w:hAnsi="Arial" w:cs="Arial"/>
          <w:bCs/>
          <w:lang w:val="en-US" w:eastAsia="en-US"/>
        </w:rPr>
        <w:t xml:space="preserve">. </w:t>
      </w:r>
      <w:r w:rsidRPr="00A462F8">
        <w:rPr>
          <w:rFonts w:ascii="Arial" w:eastAsia="Times New Roman" w:hAnsi="Arial" w:cs="Arial"/>
          <w:lang w:val="en" w:eastAsia="en-US"/>
        </w:rPr>
        <w:t xml:space="preserve">Higher scores indicate a better </w:t>
      </w:r>
      <w:r>
        <w:rPr>
          <w:rFonts w:ascii="Arial" w:eastAsia="Times New Roman" w:hAnsi="Arial" w:cs="Arial"/>
          <w:lang w:val="en" w:eastAsia="en-US"/>
        </w:rPr>
        <w:t>quality of life</w:t>
      </w:r>
      <w:r w:rsidRPr="00A462F8">
        <w:rPr>
          <w:rFonts w:ascii="Arial" w:eastAsia="Times New Roman" w:hAnsi="Arial" w:cs="Arial"/>
          <w:lang w:val="en" w:eastAsia="en-US"/>
        </w:rPr>
        <w:t>.</w:t>
      </w:r>
      <w:r>
        <w:rPr>
          <w:rFonts w:ascii="Arial" w:eastAsia="Times New Roman" w:hAnsi="Arial" w:cs="Arial"/>
          <w:lang w:val="en" w:eastAsia="en-US"/>
        </w:rPr>
        <w:t xml:space="preserve"> </w:t>
      </w:r>
      <w:r w:rsidRPr="00A462F8">
        <w:rPr>
          <w:rFonts w:ascii="Arial" w:eastAsia="Times New Roman" w:hAnsi="Arial" w:cs="Arial"/>
          <w:lang w:val="en" w:eastAsia="en-US"/>
        </w:rPr>
        <w:t>C, cycle</w:t>
      </w:r>
      <w:r>
        <w:rPr>
          <w:rFonts w:ascii="Arial" w:eastAsia="Times New Roman" w:hAnsi="Arial" w:cs="Arial"/>
          <w:lang w:val="en" w:eastAsia="en-US"/>
        </w:rPr>
        <w:t>; D, day; EOT, end of treatment; PN, peripheral neuropathy</w:t>
      </w:r>
      <w:r w:rsidRPr="00A462F8">
        <w:rPr>
          <w:rFonts w:ascii="Arial" w:eastAsia="Times New Roman" w:hAnsi="Arial" w:cs="Arial"/>
          <w:lang w:val="en" w:eastAsia="en-US"/>
        </w:rPr>
        <w:t>.</w:t>
      </w:r>
    </w:p>
    <w:sectPr w:rsidR="00E8151D" w:rsidSect="002370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Yu Gothic UI"/>
    <w:charset w:val="80"/>
    <w:family w:val="roman"/>
    <w:pitch w:val="variable"/>
    <w:sig w:usb0="800002E7" w:usb1="2AC7FCF0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9046D"/>
    <w:multiLevelType w:val="hybridMultilevel"/>
    <w:tmpl w:val="70BA28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963E49"/>
    <w:multiLevelType w:val="hybridMultilevel"/>
    <w:tmpl w:val="CB7AB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A13"/>
    <w:rsid w:val="00043421"/>
    <w:rsid w:val="00106056"/>
    <w:rsid w:val="005E5043"/>
    <w:rsid w:val="00830040"/>
    <w:rsid w:val="00E8151D"/>
    <w:rsid w:val="00F44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0D7AC"/>
  <w15:chartTrackingRefBased/>
  <w15:docId w15:val="{ACCBC15E-6B52-457D-B61E-5342AC353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4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44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44A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Wolvers</dc:creator>
  <cp:keywords/>
  <dc:description/>
  <cp:lastModifiedBy>Laura Wolvers</cp:lastModifiedBy>
  <cp:revision>3</cp:revision>
  <dcterms:created xsi:type="dcterms:W3CDTF">2020-05-13T13:18:00Z</dcterms:created>
  <dcterms:modified xsi:type="dcterms:W3CDTF">2020-05-14T15:11:00Z</dcterms:modified>
</cp:coreProperties>
</file>