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CD686" w14:textId="398E470D" w:rsidR="007479A4" w:rsidRPr="00F04279" w:rsidRDefault="00704923" w:rsidP="00851114">
      <w:pPr>
        <w:jc w:val="both"/>
        <w:rPr>
          <w:b/>
          <w:bCs/>
          <w:sz w:val="48"/>
          <w:szCs w:val="48"/>
        </w:rPr>
      </w:pPr>
      <w:r w:rsidRPr="00C7339A">
        <w:rPr>
          <w:b/>
          <w:bCs/>
          <w:sz w:val="44"/>
          <w:szCs w:val="44"/>
        </w:rPr>
        <w:t>Machine learning to detect melanom</w:t>
      </w:r>
      <w:r>
        <w:rPr>
          <w:b/>
          <w:bCs/>
          <w:sz w:val="44"/>
          <w:szCs w:val="44"/>
        </w:rPr>
        <w:t>a</w:t>
      </w:r>
      <w:r w:rsidRPr="00C7339A">
        <w:rPr>
          <w:b/>
          <w:bCs/>
          <w:sz w:val="44"/>
          <w:szCs w:val="44"/>
        </w:rPr>
        <w:t xml:space="preserve"> exploiting nuclei morphology and spatial organization</w:t>
      </w:r>
    </w:p>
    <w:p w14:paraId="508EB330" w14:textId="3135C523" w:rsidR="007479A4" w:rsidRPr="00F04279" w:rsidRDefault="00DB7648">
      <w:pPr>
        <w:jc w:val="both"/>
        <w:rPr>
          <w:lang w:val="it-IT"/>
        </w:rPr>
      </w:pPr>
      <w:r w:rsidRPr="00F04279">
        <w:rPr>
          <w:lang w:val="it-IT"/>
        </w:rPr>
        <w:t xml:space="preserve">Giulia Veronesi </w:t>
      </w:r>
      <w:r w:rsidRPr="00F04279">
        <w:rPr>
          <w:vertAlign w:val="superscript"/>
          <w:lang w:val="it-IT"/>
        </w:rPr>
        <w:t>a, b, †</w:t>
      </w:r>
      <w:r w:rsidRPr="00F04279">
        <w:rPr>
          <w:lang w:val="it-IT"/>
        </w:rPr>
        <w:t xml:space="preserve">, Nico Curti </w:t>
      </w:r>
      <w:r w:rsidRPr="00F04279">
        <w:rPr>
          <w:vertAlign w:val="superscript"/>
          <w:lang w:val="it-IT"/>
        </w:rPr>
        <w:t>c, †</w:t>
      </w:r>
      <w:r w:rsidRPr="00F04279">
        <w:rPr>
          <w:lang w:val="it-IT"/>
        </w:rPr>
        <w:t xml:space="preserve">, Aldo Gardini </w:t>
      </w:r>
      <w:r w:rsidRPr="00F04279">
        <w:rPr>
          <w:vertAlign w:val="superscript"/>
          <w:lang w:val="it-IT"/>
        </w:rPr>
        <w:t>d, *</w:t>
      </w:r>
      <w:r w:rsidRPr="00F04279">
        <w:rPr>
          <w:lang w:val="it-IT"/>
        </w:rPr>
        <w:t xml:space="preserve">, </w:t>
      </w:r>
      <w:r w:rsidR="00EE79B4">
        <w:rPr>
          <w:lang w:val="it-IT"/>
        </w:rPr>
        <w:t xml:space="preserve">Giulia </w:t>
      </w:r>
      <w:proofErr w:type="spellStart"/>
      <w:r w:rsidR="00EE79B4">
        <w:rPr>
          <w:lang w:val="it-IT"/>
        </w:rPr>
        <w:t>Querzoli</w:t>
      </w:r>
      <w:proofErr w:type="spellEnd"/>
      <w:r w:rsidR="00EE79B4">
        <w:rPr>
          <w:lang w:val="it-IT"/>
        </w:rPr>
        <w:t xml:space="preserve"> </w:t>
      </w:r>
      <w:r w:rsidR="00EE79B4" w:rsidRPr="00EE79B4">
        <w:rPr>
          <w:vertAlign w:val="superscript"/>
          <w:lang w:val="it-IT"/>
        </w:rPr>
        <w:t>e</w:t>
      </w:r>
      <w:r w:rsidR="00EE79B4">
        <w:rPr>
          <w:lang w:val="it-IT"/>
        </w:rPr>
        <w:t xml:space="preserve">, </w:t>
      </w:r>
      <w:r w:rsidRPr="00F04279">
        <w:rPr>
          <w:lang w:val="it-IT"/>
        </w:rPr>
        <w:t xml:space="preserve">Gastone Castellani </w:t>
      </w:r>
      <w:r w:rsidRPr="00F04279">
        <w:rPr>
          <w:vertAlign w:val="superscript"/>
          <w:lang w:val="it-IT"/>
        </w:rPr>
        <w:t>a, ‡</w:t>
      </w:r>
      <w:r w:rsidRPr="00F04279">
        <w:rPr>
          <w:lang w:val="it-IT"/>
        </w:rPr>
        <w:t xml:space="preserve">, Emi Dika </w:t>
      </w:r>
      <w:r w:rsidRPr="00F04279">
        <w:rPr>
          <w:vertAlign w:val="superscript"/>
          <w:lang w:val="it-IT"/>
        </w:rPr>
        <w:t>a, b, ‡</w:t>
      </w:r>
    </w:p>
    <w:p w14:paraId="0D7D107B" w14:textId="77777777" w:rsidR="007479A4" w:rsidRDefault="00DB7648">
      <w:pPr>
        <w:jc w:val="both"/>
        <w:rPr>
          <w:i/>
        </w:rPr>
      </w:pPr>
      <w:r>
        <w:rPr>
          <w:vertAlign w:val="superscript"/>
        </w:rPr>
        <w:t xml:space="preserve">a </w:t>
      </w:r>
      <w:r>
        <w:rPr>
          <w:i/>
        </w:rPr>
        <w:t>Department of Medical and Surgical Sciences, University of Bologna, 40126 Bologna (Italy)</w:t>
      </w:r>
    </w:p>
    <w:p w14:paraId="11EE0292" w14:textId="77777777" w:rsidR="007479A4" w:rsidRPr="00F04279" w:rsidRDefault="00DB7648">
      <w:pPr>
        <w:jc w:val="both"/>
        <w:rPr>
          <w:lang w:val="it-IT"/>
        </w:rPr>
      </w:pPr>
      <w:r w:rsidRPr="00F04279">
        <w:rPr>
          <w:vertAlign w:val="superscript"/>
          <w:lang w:val="it-IT"/>
        </w:rPr>
        <w:t>b</w:t>
      </w:r>
      <w:r w:rsidRPr="00F04279">
        <w:rPr>
          <w:lang w:val="it-IT"/>
        </w:rPr>
        <w:t xml:space="preserve"> </w:t>
      </w:r>
      <w:proofErr w:type="spellStart"/>
      <w:r w:rsidRPr="00F04279">
        <w:rPr>
          <w:i/>
          <w:lang w:val="it-IT"/>
        </w:rPr>
        <w:t>Oncologic</w:t>
      </w:r>
      <w:proofErr w:type="spellEnd"/>
      <w:r w:rsidRPr="00F04279">
        <w:rPr>
          <w:i/>
          <w:lang w:val="it-IT"/>
        </w:rPr>
        <w:t xml:space="preserve"> </w:t>
      </w:r>
      <w:proofErr w:type="spellStart"/>
      <w:r w:rsidRPr="00F04279">
        <w:rPr>
          <w:i/>
          <w:lang w:val="it-IT"/>
        </w:rPr>
        <w:t>Dermatology</w:t>
      </w:r>
      <w:proofErr w:type="spellEnd"/>
      <w:r w:rsidRPr="00F04279">
        <w:rPr>
          <w:i/>
          <w:lang w:val="it-IT"/>
        </w:rPr>
        <w:t xml:space="preserve"> Unit, IRCCS, Azienda Ospedaliero Universitaria Bologna, 40138 Bologna (</w:t>
      </w:r>
      <w:proofErr w:type="spellStart"/>
      <w:r w:rsidRPr="00F04279">
        <w:rPr>
          <w:i/>
          <w:lang w:val="it-IT"/>
        </w:rPr>
        <w:t>Italy</w:t>
      </w:r>
      <w:proofErr w:type="spellEnd"/>
      <w:r w:rsidRPr="00F04279">
        <w:rPr>
          <w:i/>
          <w:lang w:val="it-IT"/>
        </w:rPr>
        <w:t>)</w:t>
      </w:r>
    </w:p>
    <w:p w14:paraId="72E5643E" w14:textId="77777777" w:rsidR="007479A4" w:rsidRDefault="00DB7648">
      <w:pPr>
        <w:jc w:val="both"/>
      </w:pPr>
      <w:r>
        <w:rPr>
          <w:vertAlign w:val="superscript"/>
        </w:rPr>
        <w:t xml:space="preserve">c </w:t>
      </w:r>
      <w:r>
        <w:rPr>
          <w:i/>
        </w:rPr>
        <w:t>Department of Physics and Astronomy, University of Bologna, 40127 Bologna (Italy)</w:t>
      </w:r>
    </w:p>
    <w:p w14:paraId="65438A1E" w14:textId="77777777" w:rsidR="007479A4" w:rsidRDefault="00DB7648">
      <w:pPr>
        <w:jc w:val="both"/>
        <w:rPr>
          <w:i/>
        </w:rPr>
      </w:pPr>
      <w:r>
        <w:rPr>
          <w:vertAlign w:val="superscript"/>
        </w:rPr>
        <w:t>d</w:t>
      </w:r>
      <w:r>
        <w:t xml:space="preserve"> </w:t>
      </w:r>
      <w:r>
        <w:rPr>
          <w:i/>
        </w:rPr>
        <w:t>Department of Statistical Sciences, University of Bologna, 40126 Bologna (Italy)</w:t>
      </w:r>
    </w:p>
    <w:p w14:paraId="4358985B" w14:textId="754D3113" w:rsidR="00EE79B4" w:rsidRPr="009411C4" w:rsidRDefault="00EE79B4">
      <w:pPr>
        <w:jc w:val="both"/>
        <w:rPr>
          <w:i/>
          <w:iCs/>
          <w:lang w:val="it-IT"/>
        </w:rPr>
      </w:pPr>
      <w:r w:rsidRPr="00EE79B4">
        <w:rPr>
          <w:i/>
          <w:vertAlign w:val="superscript"/>
          <w:lang w:val="it-IT"/>
        </w:rPr>
        <w:t xml:space="preserve">e </w:t>
      </w:r>
      <w:proofErr w:type="spellStart"/>
      <w:r w:rsidR="00F64F79">
        <w:rPr>
          <w:i/>
          <w:iCs/>
          <w:lang w:val="it-IT"/>
        </w:rPr>
        <w:t>Pathology</w:t>
      </w:r>
      <w:proofErr w:type="spellEnd"/>
      <w:r w:rsidR="00F64F79">
        <w:rPr>
          <w:i/>
          <w:iCs/>
          <w:lang w:val="it-IT"/>
        </w:rPr>
        <w:t xml:space="preserve"> Unit</w:t>
      </w:r>
      <w:r w:rsidR="009411C4" w:rsidRPr="009411C4">
        <w:rPr>
          <w:i/>
          <w:iCs/>
          <w:lang w:val="it-IT"/>
        </w:rPr>
        <w:t>, IRCCS Azienda Ospedaliero-Universitaria di Bologna</w:t>
      </w:r>
      <w:r w:rsidR="00F64F79">
        <w:rPr>
          <w:i/>
          <w:iCs/>
          <w:lang w:val="it-IT"/>
        </w:rPr>
        <w:t>, 40126 Bologna</w:t>
      </w:r>
      <w:r w:rsidR="009411C4" w:rsidRPr="009411C4">
        <w:rPr>
          <w:i/>
          <w:iCs/>
          <w:lang w:val="it-IT"/>
        </w:rPr>
        <w:t xml:space="preserve"> </w:t>
      </w:r>
      <w:r w:rsidR="009411C4">
        <w:rPr>
          <w:i/>
          <w:iCs/>
          <w:lang w:val="it-IT"/>
        </w:rPr>
        <w:t>(</w:t>
      </w:r>
      <w:proofErr w:type="spellStart"/>
      <w:r w:rsidR="009411C4" w:rsidRPr="009411C4">
        <w:rPr>
          <w:i/>
          <w:iCs/>
          <w:lang w:val="it-IT"/>
        </w:rPr>
        <w:t>Italy</w:t>
      </w:r>
      <w:proofErr w:type="spellEnd"/>
      <w:r w:rsidR="009411C4">
        <w:rPr>
          <w:i/>
          <w:iCs/>
          <w:lang w:val="it-IT"/>
        </w:rPr>
        <w:t>)</w:t>
      </w:r>
    </w:p>
    <w:p w14:paraId="6B169ACE" w14:textId="77777777" w:rsidR="007479A4" w:rsidRDefault="00DB7648">
      <w:pPr>
        <w:jc w:val="both"/>
      </w:pPr>
      <w:r>
        <w:rPr>
          <w:vertAlign w:val="superscript"/>
        </w:rPr>
        <w:t>†</w:t>
      </w:r>
      <w:r>
        <w:t xml:space="preserve"> Both authors contributed equally to this work</w:t>
      </w:r>
    </w:p>
    <w:p w14:paraId="5D3DBEFB" w14:textId="77777777" w:rsidR="007479A4" w:rsidRDefault="00DB7648">
      <w:pPr>
        <w:jc w:val="both"/>
      </w:pPr>
      <w:r>
        <w:rPr>
          <w:vertAlign w:val="superscript"/>
        </w:rPr>
        <w:t>*</w:t>
      </w:r>
      <w:r>
        <w:t xml:space="preserve"> Corresponding author (</w:t>
      </w:r>
      <w:hyperlink r:id="rId8">
        <w:r w:rsidR="007479A4">
          <w:rPr>
            <w:color w:val="1155CC"/>
            <w:u w:val="single"/>
          </w:rPr>
          <w:t>aldo.gardini@unibo.it</w:t>
        </w:r>
      </w:hyperlink>
      <w:r>
        <w:t>)</w:t>
      </w:r>
    </w:p>
    <w:p w14:paraId="24D47D79" w14:textId="77777777" w:rsidR="007479A4" w:rsidRDefault="00DB7648">
      <w:pPr>
        <w:jc w:val="both"/>
      </w:pPr>
      <w:r>
        <w:rPr>
          <w:vertAlign w:val="superscript"/>
        </w:rPr>
        <w:t>‡</w:t>
      </w:r>
      <w:r>
        <w:t xml:space="preserve"> Both authors contributed equally to this work and share </w:t>
      </w:r>
      <w:proofErr w:type="spellStart"/>
      <w:r>
        <w:t>seniorship</w:t>
      </w:r>
      <w:proofErr w:type="spellEnd"/>
    </w:p>
    <w:p w14:paraId="09EB480B" w14:textId="685ABB1D" w:rsidR="00BD4EC1" w:rsidRPr="00BD4EC1" w:rsidRDefault="00BD4EC1">
      <w:pPr>
        <w:jc w:val="both"/>
        <w:rPr>
          <w:b/>
          <w:bCs/>
          <w:sz w:val="28"/>
          <w:szCs w:val="28"/>
        </w:rPr>
      </w:pPr>
      <w:r w:rsidRPr="00BD4EC1">
        <w:rPr>
          <w:b/>
          <w:bCs/>
          <w:sz w:val="28"/>
          <w:szCs w:val="28"/>
        </w:rPr>
        <w:t>Supplementary Materials</w:t>
      </w:r>
    </w:p>
    <w:p w14:paraId="7248210C" w14:textId="6FB48FA9" w:rsidR="00BD4EC1" w:rsidRPr="00BD4EC1" w:rsidRDefault="00BD4EC1">
      <w:pPr>
        <w:jc w:val="both"/>
        <w:rPr>
          <w:b/>
          <w:bCs/>
        </w:rPr>
      </w:pPr>
      <w:r w:rsidRPr="00BD4EC1">
        <w:rPr>
          <w:b/>
          <w:bCs/>
        </w:rPr>
        <w:t>Nuclei Features</w:t>
      </w:r>
    </w:p>
    <w:p w14:paraId="593DE9FC" w14:textId="7F96AEC5" w:rsidR="00BD4EC1" w:rsidRDefault="00BD4EC1">
      <w:pPr>
        <w:jc w:val="both"/>
      </w:pPr>
      <w:r>
        <w:t>The components identified by the segmentation algorithm applied on WSI images, i.e. the nuclei, were characterized according to several morphological (16) and textural (3</w:t>
      </w:r>
      <w:r w:rsidR="000642B1">
        <w:t>7</w:t>
      </w:r>
      <w:r>
        <w:t xml:space="preserve">) features. In </w:t>
      </w:r>
      <w:r w:rsidR="00BF525C" w:rsidRPr="00BF525C">
        <w:rPr>
          <w:i/>
          <w:iCs/>
        </w:rPr>
        <w:fldChar w:fldCharType="begin"/>
      </w:r>
      <w:r w:rsidR="00BF525C" w:rsidRPr="00BF525C">
        <w:rPr>
          <w:i/>
          <w:iCs/>
        </w:rPr>
        <w:instrText xml:space="preserve"> REF _Ref190868420 \h </w:instrText>
      </w:r>
      <w:r w:rsidR="00BF525C">
        <w:rPr>
          <w:i/>
          <w:iCs/>
        </w:rPr>
        <w:instrText xml:space="preserve"> \* MERGEFORMAT </w:instrText>
      </w:r>
      <w:r w:rsidR="00BF525C" w:rsidRPr="00BF525C">
        <w:rPr>
          <w:i/>
          <w:iCs/>
        </w:rPr>
      </w:r>
      <w:r w:rsidR="00BF525C" w:rsidRPr="00BF525C">
        <w:rPr>
          <w:i/>
          <w:iCs/>
        </w:rPr>
        <w:fldChar w:fldCharType="separate"/>
      </w:r>
      <w:r w:rsidR="00BF525C" w:rsidRPr="00BF525C">
        <w:rPr>
          <w:b/>
          <w:bCs/>
          <w:i/>
          <w:iCs/>
        </w:rPr>
        <w:t xml:space="preserve">Sup Tab </w:t>
      </w:r>
      <w:r w:rsidR="00BF525C" w:rsidRPr="00BF525C">
        <w:rPr>
          <w:b/>
          <w:bCs/>
          <w:i/>
          <w:iCs/>
          <w:noProof/>
        </w:rPr>
        <w:t>1</w:t>
      </w:r>
      <w:r w:rsidR="00BF525C" w:rsidRPr="00BF525C">
        <w:rPr>
          <w:i/>
          <w:iCs/>
        </w:rPr>
        <w:fldChar w:fldCharType="end"/>
      </w:r>
      <w:r w:rsidR="00BF525C">
        <w:t xml:space="preserve"> </w:t>
      </w:r>
      <w:r>
        <w:t>below we reported the details about the extracted features.</w:t>
      </w:r>
    </w:p>
    <w:p w14:paraId="5F9F563E" w14:textId="3588935E" w:rsidR="00BF525C" w:rsidRDefault="00BF525C" w:rsidP="00BF525C">
      <w:pPr>
        <w:pStyle w:val="Caption"/>
        <w:keepNext/>
        <w:jc w:val="both"/>
      </w:pPr>
      <w:bookmarkStart w:id="0" w:name="_Ref190868420"/>
      <w:r w:rsidRPr="00BF525C">
        <w:rPr>
          <w:b/>
          <w:bCs/>
        </w:rPr>
        <w:t xml:space="preserve">Sup Tab </w:t>
      </w:r>
      <w:r w:rsidRPr="00BF525C">
        <w:rPr>
          <w:b/>
          <w:bCs/>
        </w:rPr>
        <w:fldChar w:fldCharType="begin"/>
      </w:r>
      <w:r w:rsidRPr="00BF525C">
        <w:rPr>
          <w:b/>
          <w:bCs/>
        </w:rPr>
        <w:instrText xml:space="preserve"> SEQ Sup_Tab \* ARABIC </w:instrText>
      </w:r>
      <w:r w:rsidRPr="00BF525C">
        <w:rPr>
          <w:b/>
          <w:bCs/>
        </w:rPr>
        <w:fldChar w:fldCharType="separate"/>
      </w:r>
      <w:r w:rsidR="00C34118">
        <w:rPr>
          <w:b/>
          <w:bCs/>
          <w:noProof/>
        </w:rPr>
        <w:t>1</w:t>
      </w:r>
      <w:r w:rsidRPr="00BF525C">
        <w:rPr>
          <w:b/>
          <w:bCs/>
        </w:rPr>
        <w:fldChar w:fldCharType="end"/>
      </w:r>
      <w:bookmarkEnd w:id="0"/>
      <w:r w:rsidRPr="00BF525C">
        <w:rPr>
          <w:b/>
          <w:bCs/>
        </w:rPr>
        <w:t xml:space="preserve"> | Nuclei features description.</w:t>
      </w:r>
      <w:r>
        <w:t xml:space="preserve"> Description of the morphological and textural features extracted from each component, i.e. nucleus, identified by the segmentation algorithm. The entire set of features were quantified using OpenCV and scikit-image Python packages.</w:t>
      </w:r>
    </w:p>
    <w:tbl>
      <w:tblPr>
        <w:tblStyle w:val="TableGrid"/>
        <w:tblW w:w="0" w:type="auto"/>
        <w:tblLook w:val="04A0" w:firstRow="1" w:lastRow="0" w:firstColumn="1" w:lastColumn="0" w:noHBand="0" w:noVBand="1"/>
      </w:tblPr>
      <w:tblGrid>
        <w:gridCol w:w="562"/>
        <w:gridCol w:w="2268"/>
        <w:gridCol w:w="6798"/>
      </w:tblGrid>
      <w:tr w:rsidR="00BD4EC1" w14:paraId="51C35EA5" w14:textId="77777777" w:rsidTr="00BF525C">
        <w:tc>
          <w:tcPr>
            <w:tcW w:w="562" w:type="dxa"/>
            <w:tcBorders>
              <w:top w:val="single" w:sz="4" w:space="0" w:color="FFFFFF" w:themeColor="background1"/>
              <w:left w:val="single" w:sz="4" w:space="0" w:color="FFFFFF" w:themeColor="background1"/>
            </w:tcBorders>
          </w:tcPr>
          <w:p w14:paraId="607FA642" w14:textId="77777777" w:rsidR="00BD4EC1" w:rsidRDefault="00BD4EC1">
            <w:pPr>
              <w:jc w:val="both"/>
            </w:pPr>
          </w:p>
        </w:tc>
        <w:tc>
          <w:tcPr>
            <w:tcW w:w="2268" w:type="dxa"/>
            <w:tcBorders>
              <w:bottom w:val="double" w:sz="4" w:space="0" w:color="auto"/>
            </w:tcBorders>
            <w:shd w:val="clear" w:color="auto" w:fill="F2F2F2" w:themeFill="background1" w:themeFillShade="F2"/>
            <w:vAlign w:val="center"/>
          </w:tcPr>
          <w:p w14:paraId="1C1A0C0B" w14:textId="035BE0FE" w:rsidR="00BD4EC1" w:rsidRPr="00BD4EC1" w:rsidRDefault="00BD4EC1" w:rsidP="00BD4EC1">
            <w:pPr>
              <w:rPr>
                <w:b/>
                <w:bCs/>
              </w:rPr>
            </w:pPr>
            <w:r w:rsidRPr="00BD4EC1">
              <w:rPr>
                <w:b/>
                <w:bCs/>
              </w:rPr>
              <w:t>Feature Name</w:t>
            </w:r>
          </w:p>
        </w:tc>
        <w:tc>
          <w:tcPr>
            <w:tcW w:w="6798" w:type="dxa"/>
            <w:tcBorders>
              <w:bottom w:val="double" w:sz="4" w:space="0" w:color="auto"/>
            </w:tcBorders>
            <w:shd w:val="clear" w:color="auto" w:fill="F2F2F2" w:themeFill="background1" w:themeFillShade="F2"/>
            <w:vAlign w:val="center"/>
          </w:tcPr>
          <w:p w14:paraId="2E4CC236" w14:textId="615DB658" w:rsidR="00BD4EC1" w:rsidRPr="00BD4EC1" w:rsidRDefault="00BD4EC1" w:rsidP="00BD4EC1">
            <w:pPr>
              <w:rPr>
                <w:b/>
                <w:bCs/>
              </w:rPr>
            </w:pPr>
            <w:r w:rsidRPr="00BD4EC1">
              <w:rPr>
                <w:b/>
                <w:bCs/>
              </w:rPr>
              <w:t>Description</w:t>
            </w:r>
          </w:p>
        </w:tc>
      </w:tr>
      <w:tr w:rsidR="00FA2828" w14:paraId="34CB401F" w14:textId="77777777" w:rsidTr="00C34118">
        <w:tc>
          <w:tcPr>
            <w:tcW w:w="562" w:type="dxa"/>
            <w:vMerge w:val="restart"/>
            <w:shd w:val="clear" w:color="auto" w:fill="E2EFD9" w:themeFill="accent6" w:themeFillTint="33"/>
            <w:textDirection w:val="btLr"/>
            <w:vAlign w:val="center"/>
          </w:tcPr>
          <w:p w14:paraId="4F12AF4A" w14:textId="31D509BA" w:rsidR="00FA2828" w:rsidRDefault="00FA2828" w:rsidP="00BD4EC1">
            <w:pPr>
              <w:ind w:left="113" w:right="113"/>
              <w:jc w:val="center"/>
            </w:pPr>
            <w:r>
              <w:t>Morphology</w:t>
            </w:r>
          </w:p>
        </w:tc>
        <w:tc>
          <w:tcPr>
            <w:tcW w:w="2268" w:type="dxa"/>
            <w:tcBorders>
              <w:top w:val="double" w:sz="4" w:space="0" w:color="auto"/>
            </w:tcBorders>
            <w:vAlign w:val="center"/>
          </w:tcPr>
          <w:p w14:paraId="1ADB9170" w14:textId="7DF139D3" w:rsidR="00FA2828" w:rsidRDefault="00FA2828" w:rsidP="00C34118">
            <w:r>
              <w:t>Area</w:t>
            </w:r>
          </w:p>
        </w:tc>
        <w:tc>
          <w:tcPr>
            <w:tcW w:w="6798" w:type="dxa"/>
            <w:tcBorders>
              <w:top w:val="double" w:sz="4" w:space="0" w:color="auto"/>
            </w:tcBorders>
            <w:vAlign w:val="center"/>
          </w:tcPr>
          <w:p w14:paraId="74672A36" w14:textId="5A655AF4" w:rsidR="00FA2828" w:rsidRDefault="00FA2828" w:rsidP="00C34118">
            <w:r>
              <w:t>Contour area of the identified component</w:t>
            </w:r>
          </w:p>
        </w:tc>
      </w:tr>
      <w:tr w:rsidR="00FA2828" w14:paraId="7D415151" w14:textId="77777777" w:rsidTr="00C34118">
        <w:tc>
          <w:tcPr>
            <w:tcW w:w="562" w:type="dxa"/>
            <w:vMerge/>
            <w:shd w:val="clear" w:color="auto" w:fill="E2EFD9" w:themeFill="accent6" w:themeFillTint="33"/>
          </w:tcPr>
          <w:p w14:paraId="7467AB51" w14:textId="77777777" w:rsidR="00FA2828" w:rsidRDefault="00FA2828">
            <w:pPr>
              <w:jc w:val="both"/>
            </w:pPr>
          </w:p>
        </w:tc>
        <w:tc>
          <w:tcPr>
            <w:tcW w:w="2268" w:type="dxa"/>
            <w:vAlign w:val="center"/>
          </w:tcPr>
          <w:p w14:paraId="48243C42" w14:textId="52632F8D" w:rsidR="00FA2828" w:rsidRDefault="00FA2828" w:rsidP="00C34118">
            <w:r>
              <w:t>Perimeter</w:t>
            </w:r>
          </w:p>
        </w:tc>
        <w:tc>
          <w:tcPr>
            <w:tcW w:w="6798" w:type="dxa"/>
            <w:vAlign w:val="center"/>
          </w:tcPr>
          <w:p w14:paraId="3128974E" w14:textId="5A5DC542" w:rsidR="00FA2828" w:rsidRDefault="00FA2828" w:rsidP="00C34118">
            <w:r>
              <w:t>Contour perimeter of the identified component</w:t>
            </w:r>
          </w:p>
        </w:tc>
      </w:tr>
      <w:tr w:rsidR="00FA2828" w14:paraId="6CB2C513" w14:textId="77777777" w:rsidTr="00C34118">
        <w:tc>
          <w:tcPr>
            <w:tcW w:w="562" w:type="dxa"/>
            <w:vMerge/>
            <w:shd w:val="clear" w:color="auto" w:fill="E2EFD9" w:themeFill="accent6" w:themeFillTint="33"/>
          </w:tcPr>
          <w:p w14:paraId="30F9B9C9" w14:textId="77777777" w:rsidR="00FA2828" w:rsidRDefault="00FA2828">
            <w:pPr>
              <w:jc w:val="both"/>
            </w:pPr>
          </w:p>
        </w:tc>
        <w:tc>
          <w:tcPr>
            <w:tcW w:w="2268" w:type="dxa"/>
            <w:vAlign w:val="center"/>
          </w:tcPr>
          <w:p w14:paraId="77592EE8" w14:textId="459AC1B1" w:rsidR="00FA2828" w:rsidRDefault="00FA2828" w:rsidP="00C34118">
            <w:r>
              <w:t>Equivalent diameter</w:t>
            </w:r>
          </w:p>
        </w:tc>
        <w:tc>
          <w:tcPr>
            <w:tcW w:w="6798" w:type="dxa"/>
            <w:vAlign w:val="center"/>
          </w:tcPr>
          <w:p w14:paraId="336960C9" w14:textId="6FB08F52" w:rsidR="00FA2828" w:rsidRDefault="00FA2828" w:rsidP="00C34118">
            <w:r>
              <w:t>D</w:t>
            </w:r>
            <w:r w:rsidRPr="00FA2828">
              <w:t>iameter of a circle with an equal aggregate sectional area</w:t>
            </w:r>
          </w:p>
        </w:tc>
      </w:tr>
      <w:tr w:rsidR="00FA2828" w14:paraId="55D10C68" w14:textId="77777777" w:rsidTr="00C34118">
        <w:tc>
          <w:tcPr>
            <w:tcW w:w="562" w:type="dxa"/>
            <w:vMerge/>
            <w:shd w:val="clear" w:color="auto" w:fill="E2EFD9" w:themeFill="accent6" w:themeFillTint="33"/>
          </w:tcPr>
          <w:p w14:paraId="442267BA" w14:textId="77777777" w:rsidR="00FA2828" w:rsidRDefault="00FA2828" w:rsidP="00BD4EC1">
            <w:pPr>
              <w:jc w:val="both"/>
            </w:pPr>
          </w:p>
        </w:tc>
        <w:tc>
          <w:tcPr>
            <w:tcW w:w="2268" w:type="dxa"/>
            <w:vAlign w:val="center"/>
          </w:tcPr>
          <w:p w14:paraId="76F21EDD" w14:textId="02EAC8BE" w:rsidR="00FA2828" w:rsidRDefault="00FA2828" w:rsidP="00C34118">
            <w:r>
              <w:t>Aspect Ratio</w:t>
            </w:r>
          </w:p>
        </w:tc>
        <w:tc>
          <w:tcPr>
            <w:tcW w:w="6798" w:type="dxa"/>
            <w:vAlign w:val="center"/>
          </w:tcPr>
          <w:p w14:paraId="4196EB63" w14:textId="0423DE65" w:rsidR="00FA2828" w:rsidRDefault="00FA2828" w:rsidP="00C34118">
            <w:r>
              <w:t>Ratio between width and height of the component bounding box</w:t>
            </w:r>
          </w:p>
        </w:tc>
      </w:tr>
      <w:tr w:rsidR="00FA2828" w14:paraId="6AB258C3" w14:textId="77777777" w:rsidTr="00C34118">
        <w:tc>
          <w:tcPr>
            <w:tcW w:w="562" w:type="dxa"/>
            <w:vMerge/>
            <w:shd w:val="clear" w:color="auto" w:fill="E2EFD9" w:themeFill="accent6" w:themeFillTint="33"/>
          </w:tcPr>
          <w:p w14:paraId="099B5B13" w14:textId="77777777" w:rsidR="00FA2828" w:rsidRDefault="00FA2828" w:rsidP="00BD4EC1">
            <w:pPr>
              <w:jc w:val="both"/>
            </w:pPr>
          </w:p>
        </w:tc>
        <w:tc>
          <w:tcPr>
            <w:tcW w:w="2268" w:type="dxa"/>
            <w:vAlign w:val="center"/>
          </w:tcPr>
          <w:p w14:paraId="280194B6" w14:textId="22DE74B7" w:rsidR="00FA2828" w:rsidRDefault="00FA2828" w:rsidP="00C34118">
            <w:r>
              <w:t>Extent</w:t>
            </w:r>
          </w:p>
        </w:tc>
        <w:tc>
          <w:tcPr>
            <w:tcW w:w="6798" w:type="dxa"/>
            <w:vAlign w:val="center"/>
          </w:tcPr>
          <w:p w14:paraId="5FB2D56B" w14:textId="454E5AEC" w:rsidR="00FA2828" w:rsidRDefault="00FA2828" w:rsidP="00C34118">
            <w:r>
              <w:t>Ratio between component area and related bounding box area</w:t>
            </w:r>
          </w:p>
        </w:tc>
      </w:tr>
      <w:tr w:rsidR="00FA2828" w14:paraId="66AE610A" w14:textId="77777777" w:rsidTr="00C34118">
        <w:tc>
          <w:tcPr>
            <w:tcW w:w="562" w:type="dxa"/>
            <w:vMerge/>
            <w:shd w:val="clear" w:color="auto" w:fill="E2EFD9" w:themeFill="accent6" w:themeFillTint="33"/>
          </w:tcPr>
          <w:p w14:paraId="770647AE" w14:textId="77777777" w:rsidR="00FA2828" w:rsidRDefault="00FA2828" w:rsidP="00BD4EC1">
            <w:pPr>
              <w:jc w:val="both"/>
            </w:pPr>
          </w:p>
        </w:tc>
        <w:tc>
          <w:tcPr>
            <w:tcW w:w="2268" w:type="dxa"/>
            <w:vAlign w:val="center"/>
          </w:tcPr>
          <w:p w14:paraId="46F8C935" w14:textId="160FE22F" w:rsidR="00FA2828" w:rsidRDefault="00FA2828" w:rsidP="00C34118">
            <w:r>
              <w:t>Circularity</w:t>
            </w:r>
          </w:p>
        </w:tc>
        <w:tc>
          <w:tcPr>
            <w:tcW w:w="6798" w:type="dxa"/>
            <w:vAlign w:val="center"/>
          </w:tcPr>
          <w:p w14:paraId="514BDEC7" w14:textId="571584D7" w:rsidR="00FA2828" w:rsidRDefault="00FA2828" w:rsidP="00C34118">
            <w:r>
              <w:t>M</w:t>
            </w:r>
            <w:r w:rsidRPr="00FA2828">
              <w:t>easure of how closely the shape of an object approaches that of a mathematically perfect circle</w:t>
            </w:r>
          </w:p>
        </w:tc>
      </w:tr>
      <w:tr w:rsidR="00FA2828" w14:paraId="2D7221B0" w14:textId="77777777" w:rsidTr="00C34118">
        <w:tc>
          <w:tcPr>
            <w:tcW w:w="562" w:type="dxa"/>
            <w:vMerge/>
            <w:shd w:val="clear" w:color="auto" w:fill="E2EFD9" w:themeFill="accent6" w:themeFillTint="33"/>
          </w:tcPr>
          <w:p w14:paraId="33AF33EB" w14:textId="77777777" w:rsidR="00FA2828" w:rsidRDefault="00FA2828" w:rsidP="00FA2828">
            <w:pPr>
              <w:jc w:val="both"/>
            </w:pPr>
          </w:p>
        </w:tc>
        <w:tc>
          <w:tcPr>
            <w:tcW w:w="2268" w:type="dxa"/>
            <w:vAlign w:val="center"/>
          </w:tcPr>
          <w:p w14:paraId="636788D9" w14:textId="3BE2F996" w:rsidR="00FA2828" w:rsidRDefault="00FA2828" w:rsidP="00C34118">
            <w:r>
              <w:t>Convexity</w:t>
            </w:r>
          </w:p>
        </w:tc>
        <w:tc>
          <w:tcPr>
            <w:tcW w:w="6798" w:type="dxa"/>
            <w:vAlign w:val="center"/>
          </w:tcPr>
          <w:p w14:paraId="15F9DBCE" w14:textId="0D8DB4BB" w:rsidR="00FA2828" w:rsidRDefault="00FA2828" w:rsidP="00C34118">
            <w:r>
              <w:t>Ratio between area of component area and related convex hull area</w:t>
            </w:r>
          </w:p>
        </w:tc>
      </w:tr>
      <w:tr w:rsidR="00FA2828" w14:paraId="5D5F0A65" w14:textId="77777777" w:rsidTr="00C34118">
        <w:tc>
          <w:tcPr>
            <w:tcW w:w="562" w:type="dxa"/>
            <w:vMerge/>
            <w:shd w:val="clear" w:color="auto" w:fill="E2EFD9" w:themeFill="accent6" w:themeFillTint="33"/>
          </w:tcPr>
          <w:p w14:paraId="6B6F859E" w14:textId="77777777" w:rsidR="00FA2828" w:rsidRDefault="00FA2828" w:rsidP="00FA2828">
            <w:pPr>
              <w:jc w:val="both"/>
            </w:pPr>
          </w:p>
        </w:tc>
        <w:tc>
          <w:tcPr>
            <w:tcW w:w="2268" w:type="dxa"/>
            <w:vAlign w:val="center"/>
          </w:tcPr>
          <w:p w14:paraId="3065E56D" w14:textId="7AC8FA28" w:rsidR="00FA2828" w:rsidRDefault="00FA2828" w:rsidP="00C34118">
            <w:r>
              <w:t>Major axis</w:t>
            </w:r>
          </w:p>
        </w:tc>
        <w:tc>
          <w:tcPr>
            <w:tcW w:w="6798" w:type="dxa"/>
            <w:vAlign w:val="center"/>
          </w:tcPr>
          <w:p w14:paraId="501F5725" w14:textId="33CCA022" w:rsidR="00FA2828" w:rsidRDefault="00FA2828" w:rsidP="00C34118">
            <w:r>
              <w:t xml:space="preserve">Major axis of the </w:t>
            </w:r>
          </w:p>
        </w:tc>
      </w:tr>
      <w:tr w:rsidR="00FA2828" w14:paraId="15187BCE" w14:textId="77777777" w:rsidTr="00C34118">
        <w:tc>
          <w:tcPr>
            <w:tcW w:w="562" w:type="dxa"/>
            <w:vMerge/>
            <w:shd w:val="clear" w:color="auto" w:fill="E2EFD9" w:themeFill="accent6" w:themeFillTint="33"/>
          </w:tcPr>
          <w:p w14:paraId="7FD2144A" w14:textId="77777777" w:rsidR="00FA2828" w:rsidRDefault="00FA2828" w:rsidP="00FA2828">
            <w:pPr>
              <w:jc w:val="both"/>
            </w:pPr>
          </w:p>
        </w:tc>
        <w:tc>
          <w:tcPr>
            <w:tcW w:w="2268" w:type="dxa"/>
            <w:vAlign w:val="center"/>
          </w:tcPr>
          <w:p w14:paraId="39616008" w14:textId="7B774EFD" w:rsidR="00FA2828" w:rsidRDefault="00FA2828" w:rsidP="00C34118">
            <w:r>
              <w:t>Minor axis</w:t>
            </w:r>
          </w:p>
        </w:tc>
        <w:tc>
          <w:tcPr>
            <w:tcW w:w="6798" w:type="dxa"/>
            <w:vAlign w:val="center"/>
          </w:tcPr>
          <w:p w14:paraId="67ADE434" w14:textId="433F7E13" w:rsidR="00FA2828" w:rsidRDefault="00FA2828" w:rsidP="00C34118">
            <w:r>
              <w:t>Minor axis of</w:t>
            </w:r>
          </w:p>
        </w:tc>
      </w:tr>
      <w:tr w:rsidR="00FA2828" w14:paraId="4F1699F0" w14:textId="77777777" w:rsidTr="00C34118">
        <w:tc>
          <w:tcPr>
            <w:tcW w:w="562" w:type="dxa"/>
            <w:vMerge/>
            <w:shd w:val="clear" w:color="auto" w:fill="E2EFD9" w:themeFill="accent6" w:themeFillTint="33"/>
          </w:tcPr>
          <w:p w14:paraId="4BE4DED3" w14:textId="77777777" w:rsidR="00FA2828" w:rsidRDefault="00FA2828" w:rsidP="00FA2828">
            <w:pPr>
              <w:jc w:val="both"/>
            </w:pPr>
          </w:p>
        </w:tc>
        <w:tc>
          <w:tcPr>
            <w:tcW w:w="2268" w:type="dxa"/>
            <w:vAlign w:val="center"/>
          </w:tcPr>
          <w:p w14:paraId="2645162D" w14:textId="4E80D281" w:rsidR="00FA2828" w:rsidRDefault="00FA2828" w:rsidP="00C34118">
            <w:r>
              <w:t>Eccentricity</w:t>
            </w:r>
          </w:p>
        </w:tc>
        <w:tc>
          <w:tcPr>
            <w:tcW w:w="6798" w:type="dxa"/>
            <w:vAlign w:val="center"/>
          </w:tcPr>
          <w:p w14:paraId="437087CD" w14:textId="48E1CEEA" w:rsidR="00FA2828" w:rsidRDefault="00FA2828" w:rsidP="00C34118">
            <w:r>
              <w:t>Ratio between minor and major axis</w:t>
            </w:r>
          </w:p>
        </w:tc>
      </w:tr>
      <w:tr w:rsidR="00FA2828" w14:paraId="02A9B4BB" w14:textId="77777777" w:rsidTr="00C34118">
        <w:tc>
          <w:tcPr>
            <w:tcW w:w="562" w:type="dxa"/>
            <w:vMerge/>
            <w:shd w:val="clear" w:color="auto" w:fill="E2EFD9" w:themeFill="accent6" w:themeFillTint="33"/>
          </w:tcPr>
          <w:p w14:paraId="1D6836F9" w14:textId="77777777" w:rsidR="00FA2828" w:rsidRDefault="00FA2828" w:rsidP="00FA2828">
            <w:pPr>
              <w:jc w:val="both"/>
            </w:pPr>
          </w:p>
        </w:tc>
        <w:tc>
          <w:tcPr>
            <w:tcW w:w="2268" w:type="dxa"/>
            <w:vAlign w:val="center"/>
          </w:tcPr>
          <w:p w14:paraId="4211BD35" w14:textId="02B3CF50" w:rsidR="00FA2828" w:rsidRDefault="00FA2828" w:rsidP="00C34118">
            <w:r>
              <w:t>Convex Hull area</w:t>
            </w:r>
          </w:p>
        </w:tc>
        <w:tc>
          <w:tcPr>
            <w:tcW w:w="6798" w:type="dxa"/>
            <w:vAlign w:val="center"/>
          </w:tcPr>
          <w:p w14:paraId="3D94706C" w14:textId="57FBE06D" w:rsidR="00FA2828" w:rsidRDefault="00FA2828" w:rsidP="00C34118">
            <w:r>
              <w:t>Area of the convex hull of the component</w:t>
            </w:r>
          </w:p>
        </w:tc>
      </w:tr>
      <w:tr w:rsidR="00FA2828" w14:paraId="77CE51DA" w14:textId="77777777" w:rsidTr="00C34118">
        <w:tc>
          <w:tcPr>
            <w:tcW w:w="562" w:type="dxa"/>
            <w:vMerge/>
            <w:shd w:val="clear" w:color="auto" w:fill="E2EFD9" w:themeFill="accent6" w:themeFillTint="33"/>
          </w:tcPr>
          <w:p w14:paraId="0D3CB91C" w14:textId="77777777" w:rsidR="00FA2828" w:rsidRDefault="00FA2828" w:rsidP="00FA2828">
            <w:pPr>
              <w:jc w:val="both"/>
            </w:pPr>
          </w:p>
        </w:tc>
        <w:tc>
          <w:tcPr>
            <w:tcW w:w="2268" w:type="dxa"/>
            <w:vAlign w:val="center"/>
          </w:tcPr>
          <w:p w14:paraId="6D961374" w14:textId="17052776" w:rsidR="00FA2828" w:rsidRDefault="00FA2828" w:rsidP="00C34118">
            <w:r>
              <w:t>Convex Hull perimeter</w:t>
            </w:r>
          </w:p>
        </w:tc>
        <w:tc>
          <w:tcPr>
            <w:tcW w:w="6798" w:type="dxa"/>
            <w:vAlign w:val="center"/>
          </w:tcPr>
          <w:p w14:paraId="31753065" w14:textId="2F5746D0" w:rsidR="00FA2828" w:rsidRDefault="00FA2828" w:rsidP="00C34118">
            <w:r>
              <w:t>Perimeter of the convex hull of the component</w:t>
            </w:r>
          </w:p>
        </w:tc>
      </w:tr>
      <w:tr w:rsidR="00FA2828" w14:paraId="47658DA8" w14:textId="77777777" w:rsidTr="00C34118">
        <w:tc>
          <w:tcPr>
            <w:tcW w:w="562" w:type="dxa"/>
            <w:vMerge/>
            <w:shd w:val="clear" w:color="auto" w:fill="E2EFD9" w:themeFill="accent6" w:themeFillTint="33"/>
          </w:tcPr>
          <w:p w14:paraId="1C3AB9BD" w14:textId="77777777" w:rsidR="00FA2828" w:rsidRDefault="00FA2828" w:rsidP="00FA2828">
            <w:pPr>
              <w:jc w:val="both"/>
            </w:pPr>
          </w:p>
        </w:tc>
        <w:tc>
          <w:tcPr>
            <w:tcW w:w="2268" w:type="dxa"/>
            <w:vAlign w:val="center"/>
          </w:tcPr>
          <w:p w14:paraId="13F447F4" w14:textId="5BA3131C" w:rsidR="00FA2828" w:rsidRDefault="00FA2828" w:rsidP="00C34118">
            <w:r>
              <w:t>Elongation</w:t>
            </w:r>
          </w:p>
        </w:tc>
        <w:tc>
          <w:tcPr>
            <w:tcW w:w="6798" w:type="dxa"/>
            <w:vAlign w:val="center"/>
          </w:tcPr>
          <w:p w14:paraId="1D790946" w14:textId="11AAECE6" w:rsidR="00FA2828" w:rsidRDefault="00FA2828" w:rsidP="00C34118">
            <w:r>
              <w:t>Ratio between the area and the number of erosions required for the complete remotion of the object</w:t>
            </w:r>
          </w:p>
        </w:tc>
      </w:tr>
      <w:tr w:rsidR="00FA2828" w14:paraId="6C008E72" w14:textId="77777777" w:rsidTr="00C34118">
        <w:tc>
          <w:tcPr>
            <w:tcW w:w="562" w:type="dxa"/>
            <w:vMerge/>
            <w:shd w:val="clear" w:color="auto" w:fill="E2EFD9" w:themeFill="accent6" w:themeFillTint="33"/>
          </w:tcPr>
          <w:p w14:paraId="4F38432B" w14:textId="77777777" w:rsidR="00FA2828" w:rsidRDefault="00FA2828" w:rsidP="00FA2828">
            <w:pPr>
              <w:jc w:val="both"/>
            </w:pPr>
          </w:p>
        </w:tc>
        <w:tc>
          <w:tcPr>
            <w:tcW w:w="2268" w:type="dxa"/>
            <w:vAlign w:val="center"/>
          </w:tcPr>
          <w:p w14:paraId="3C75A8AE" w14:textId="65A3DCCD" w:rsidR="00FA2828" w:rsidRDefault="00FA2828" w:rsidP="00C34118">
            <w:r>
              <w:t>Circular variance</w:t>
            </w:r>
          </w:p>
        </w:tc>
        <w:tc>
          <w:tcPr>
            <w:tcW w:w="6798" w:type="dxa"/>
            <w:vAlign w:val="center"/>
          </w:tcPr>
          <w:p w14:paraId="08D4EFCF" w14:textId="13C6EA5C" w:rsidR="00FA2828" w:rsidRDefault="00FA2828" w:rsidP="00C34118">
            <w:r>
              <w:t>The circular variance is the proportional mean-squared error with respect to solid circle</w:t>
            </w:r>
          </w:p>
        </w:tc>
      </w:tr>
      <w:tr w:rsidR="00FA2828" w14:paraId="5EAAC7A7" w14:textId="77777777" w:rsidTr="00C34118">
        <w:tc>
          <w:tcPr>
            <w:tcW w:w="562" w:type="dxa"/>
            <w:vMerge/>
            <w:shd w:val="clear" w:color="auto" w:fill="E2EFD9" w:themeFill="accent6" w:themeFillTint="33"/>
          </w:tcPr>
          <w:p w14:paraId="154AA4EB" w14:textId="77777777" w:rsidR="00FA2828" w:rsidRDefault="00FA2828" w:rsidP="00FA2828">
            <w:pPr>
              <w:jc w:val="both"/>
            </w:pPr>
          </w:p>
        </w:tc>
        <w:tc>
          <w:tcPr>
            <w:tcW w:w="2268" w:type="dxa"/>
            <w:vAlign w:val="center"/>
          </w:tcPr>
          <w:p w14:paraId="6BA57867" w14:textId="7364A2DF" w:rsidR="00FA2828" w:rsidRDefault="00FA2828" w:rsidP="00C34118">
            <w:r>
              <w:t>Elliptic variance</w:t>
            </w:r>
          </w:p>
        </w:tc>
        <w:tc>
          <w:tcPr>
            <w:tcW w:w="6798" w:type="dxa"/>
            <w:vAlign w:val="center"/>
          </w:tcPr>
          <w:p w14:paraId="4608E7A0" w14:textId="00DE49BF" w:rsidR="00FA2828" w:rsidRDefault="00FA2828" w:rsidP="00C34118">
            <w:r>
              <w:t>Elliptic variance is defined similarly to the circular variance. An ellipse is fitted to the shape (instead of a circle) and the mean-squared error is measured</w:t>
            </w:r>
          </w:p>
        </w:tc>
      </w:tr>
      <w:tr w:rsidR="00FA2828" w14:paraId="7B5CFD34" w14:textId="77777777" w:rsidTr="00C34118">
        <w:tc>
          <w:tcPr>
            <w:tcW w:w="562" w:type="dxa"/>
            <w:vMerge/>
            <w:tcBorders>
              <w:bottom w:val="double" w:sz="4" w:space="0" w:color="auto"/>
            </w:tcBorders>
            <w:shd w:val="clear" w:color="auto" w:fill="E2EFD9" w:themeFill="accent6" w:themeFillTint="33"/>
          </w:tcPr>
          <w:p w14:paraId="41FCC5C3" w14:textId="77777777" w:rsidR="00FA2828" w:rsidRDefault="00FA2828" w:rsidP="00FA2828">
            <w:pPr>
              <w:jc w:val="both"/>
            </w:pPr>
          </w:p>
        </w:tc>
        <w:tc>
          <w:tcPr>
            <w:tcW w:w="2268" w:type="dxa"/>
            <w:tcBorders>
              <w:bottom w:val="double" w:sz="4" w:space="0" w:color="auto"/>
            </w:tcBorders>
            <w:vAlign w:val="center"/>
          </w:tcPr>
          <w:p w14:paraId="193B9C57" w14:textId="1FC7F772" w:rsidR="00FA2828" w:rsidRDefault="00FA2828" w:rsidP="00C34118">
            <w:r>
              <w:t>Sphericity</w:t>
            </w:r>
          </w:p>
        </w:tc>
        <w:tc>
          <w:tcPr>
            <w:tcW w:w="6798" w:type="dxa"/>
            <w:tcBorders>
              <w:bottom w:val="double" w:sz="4" w:space="0" w:color="auto"/>
            </w:tcBorders>
            <w:vAlign w:val="center"/>
          </w:tcPr>
          <w:p w14:paraId="1EE9688F" w14:textId="6A35C23F" w:rsidR="00FA2828" w:rsidRDefault="00FA2828" w:rsidP="00C34118">
            <w:r>
              <w:t>Degree to which an object approaches the shape of a "sphere"</w:t>
            </w:r>
          </w:p>
        </w:tc>
      </w:tr>
      <w:tr w:rsidR="00FA2828" w14:paraId="62C49913" w14:textId="77777777" w:rsidTr="00C34118">
        <w:tc>
          <w:tcPr>
            <w:tcW w:w="562" w:type="dxa"/>
            <w:vMerge w:val="restart"/>
            <w:tcBorders>
              <w:top w:val="double" w:sz="4" w:space="0" w:color="auto"/>
            </w:tcBorders>
            <w:shd w:val="clear" w:color="auto" w:fill="DEEAF6" w:themeFill="accent5" w:themeFillTint="33"/>
            <w:textDirection w:val="btLr"/>
            <w:vAlign w:val="center"/>
          </w:tcPr>
          <w:p w14:paraId="1DF84DF6" w14:textId="140C1B72" w:rsidR="00FA2828" w:rsidRDefault="00FA2828" w:rsidP="00FA2828">
            <w:pPr>
              <w:ind w:left="113" w:right="113"/>
              <w:jc w:val="center"/>
            </w:pPr>
            <w:r>
              <w:t>Texture</w:t>
            </w:r>
          </w:p>
        </w:tc>
        <w:tc>
          <w:tcPr>
            <w:tcW w:w="2268" w:type="dxa"/>
            <w:tcBorders>
              <w:top w:val="double" w:sz="4" w:space="0" w:color="auto"/>
            </w:tcBorders>
            <w:vAlign w:val="center"/>
          </w:tcPr>
          <w:p w14:paraId="59D3875E" w14:textId="7C9D3026" w:rsidR="00FA2828" w:rsidRDefault="00FA2828" w:rsidP="00C34118">
            <w:r>
              <w:t>Average R</w:t>
            </w:r>
          </w:p>
        </w:tc>
        <w:tc>
          <w:tcPr>
            <w:tcW w:w="6798" w:type="dxa"/>
            <w:tcBorders>
              <w:top w:val="double" w:sz="4" w:space="0" w:color="auto"/>
            </w:tcBorders>
            <w:vAlign w:val="center"/>
          </w:tcPr>
          <w:p w14:paraId="22FD1969" w14:textId="2954F56B" w:rsidR="00FA2828" w:rsidRDefault="000642B1" w:rsidP="00C34118">
            <w:r>
              <w:t>Average value of red channel in the component</w:t>
            </w:r>
          </w:p>
        </w:tc>
      </w:tr>
      <w:tr w:rsidR="00FA2828" w14:paraId="598BD704" w14:textId="77777777" w:rsidTr="00C34118">
        <w:tc>
          <w:tcPr>
            <w:tcW w:w="562" w:type="dxa"/>
            <w:vMerge/>
            <w:shd w:val="clear" w:color="auto" w:fill="DEEAF6" w:themeFill="accent5" w:themeFillTint="33"/>
            <w:vAlign w:val="center"/>
          </w:tcPr>
          <w:p w14:paraId="1F720894" w14:textId="77777777" w:rsidR="00FA2828" w:rsidRDefault="00FA2828" w:rsidP="00FA2828">
            <w:pPr>
              <w:jc w:val="center"/>
            </w:pPr>
          </w:p>
        </w:tc>
        <w:tc>
          <w:tcPr>
            <w:tcW w:w="2268" w:type="dxa"/>
            <w:vAlign w:val="center"/>
          </w:tcPr>
          <w:p w14:paraId="74BFCD22" w14:textId="4CF97878" w:rsidR="00FA2828" w:rsidRDefault="00FA2828" w:rsidP="00C34118">
            <w:r>
              <w:t>Average G</w:t>
            </w:r>
          </w:p>
        </w:tc>
        <w:tc>
          <w:tcPr>
            <w:tcW w:w="6798" w:type="dxa"/>
            <w:vAlign w:val="center"/>
          </w:tcPr>
          <w:p w14:paraId="7D2D9A78" w14:textId="237D1831" w:rsidR="00FA2828" w:rsidRDefault="000642B1" w:rsidP="00C34118">
            <w:r>
              <w:t>Average value of green channel in the component</w:t>
            </w:r>
          </w:p>
        </w:tc>
      </w:tr>
      <w:tr w:rsidR="00FA2828" w14:paraId="4B46EA8B" w14:textId="77777777" w:rsidTr="00C34118">
        <w:tc>
          <w:tcPr>
            <w:tcW w:w="562" w:type="dxa"/>
            <w:vMerge/>
            <w:shd w:val="clear" w:color="auto" w:fill="DEEAF6" w:themeFill="accent5" w:themeFillTint="33"/>
            <w:vAlign w:val="center"/>
          </w:tcPr>
          <w:p w14:paraId="6C0B1645" w14:textId="77777777" w:rsidR="00FA2828" w:rsidRDefault="00FA2828" w:rsidP="00FA2828">
            <w:pPr>
              <w:jc w:val="center"/>
            </w:pPr>
          </w:p>
        </w:tc>
        <w:tc>
          <w:tcPr>
            <w:tcW w:w="2268" w:type="dxa"/>
            <w:vAlign w:val="center"/>
          </w:tcPr>
          <w:p w14:paraId="00624EAE" w14:textId="7B396FBA" w:rsidR="00FA2828" w:rsidRDefault="00FA2828" w:rsidP="00C34118">
            <w:r>
              <w:t>Average B</w:t>
            </w:r>
          </w:p>
        </w:tc>
        <w:tc>
          <w:tcPr>
            <w:tcW w:w="6798" w:type="dxa"/>
            <w:vAlign w:val="center"/>
          </w:tcPr>
          <w:p w14:paraId="56711531" w14:textId="21B65DA5" w:rsidR="00FA2828" w:rsidRDefault="000642B1" w:rsidP="00C34118">
            <w:r>
              <w:t>Average value of blue channel in the component</w:t>
            </w:r>
          </w:p>
        </w:tc>
      </w:tr>
      <w:tr w:rsidR="000642B1" w14:paraId="3091D228" w14:textId="77777777" w:rsidTr="00C34118">
        <w:tc>
          <w:tcPr>
            <w:tcW w:w="562" w:type="dxa"/>
            <w:vMerge/>
            <w:shd w:val="clear" w:color="auto" w:fill="DEEAF6" w:themeFill="accent5" w:themeFillTint="33"/>
            <w:vAlign w:val="center"/>
          </w:tcPr>
          <w:p w14:paraId="3B41DA31" w14:textId="77777777" w:rsidR="000642B1" w:rsidRDefault="000642B1" w:rsidP="00FA2828">
            <w:pPr>
              <w:jc w:val="center"/>
            </w:pPr>
          </w:p>
        </w:tc>
        <w:tc>
          <w:tcPr>
            <w:tcW w:w="2268" w:type="dxa"/>
            <w:vAlign w:val="center"/>
          </w:tcPr>
          <w:p w14:paraId="685C66B6" w14:textId="61B2FDD5" w:rsidR="000642B1" w:rsidRDefault="000642B1" w:rsidP="00C34118">
            <w:r>
              <w:t>Standard Dev R</w:t>
            </w:r>
          </w:p>
        </w:tc>
        <w:tc>
          <w:tcPr>
            <w:tcW w:w="6798" w:type="dxa"/>
            <w:vAlign w:val="center"/>
          </w:tcPr>
          <w:p w14:paraId="3BDD36F3" w14:textId="359E6021" w:rsidR="000642B1" w:rsidRDefault="000642B1" w:rsidP="00C34118">
            <w:r>
              <w:t>Standard deviation value of the red channel in the component</w:t>
            </w:r>
          </w:p>
        </w:tc>
      </w:tr>
      <w:tr w:rsidR="000642B1" w14:paraId="43A41B3F" w14:textId="77777777" w:rsidTr="00C34118">
        <w:tc>
          <w:tcPr>
            <w:tcW w:w="562" w:type="dxa"/>
            <w:vMerge/>
            <w:shd w:val="clear" w:color="auto" w:fill="DEEAF6" w:themeFill="accent5" w:themeFillTint="33"/>
            <w:vAlign w:val="center"/>
          </w:tcPr>
          <w:p w14:paraId="1854C999" w14:textId="77777777" w:rsidR="000642B1" w:rsidRDefault="000642B1" w:rsidP="00FA2828">
            <w:pPr>
              <w:jc w:val="center"/>
            </w:pPr>
          </w:p>
        </w:tc>
        <w:tc>
          <w:tcPr>
            <w:tcW w:w="2268" w:type="dxa"/>
            <w:vAlign w:val="center"/>
          </w:tcPr>
          <w:p w14:paraId="07C6A7B6" w14:textId="302F711A" w:rsidR="000642B1" w:rsidRDefault="000642B1" w:rsidP="00C34118">
            <w:r>
              <w:t>Standard Dev G</w:t>
            </w:r>
          </w:p>
        </w:tc>
        <w:tc>
          <w:tcPr>
            <w:tcW w:w="6798" w:type="dxa"/>
            <w:vAlign w:val="center"/>
          </w:tcPr>
          <w:p w14:paraId="6B1C9C46" w14:textId="22DD0C80" w:rsidR="000642B1" w:rsidRDefault="000642B1" w:rsidP="00C34118">
            <w:r>
              <w:t>Standard deviation value of the green channel in the component</w:t>
            </w:r>
          </w:p>
        </w:tc>
      </w:tr>
      <w:tr w:rsidR="000642B1" w14:paraId="0193A49E" w14:textId="77777777" w:rsidTr="00C34118">
        <w:tc>
          <w:tcPr>
            <w:tcW w:w="562" w:type="dxa"/>
            <w:vMerge/>
            <w:shd w:val="clear" w:color="auto" w:fill="DEEAF6" w:themeFill="accent5" w:themeFillTint="33"/>
            <w:vAlign w:val="center"/>
          </w:tcPr>
          <w:p w14:paraId="26054350" w14:textId="77777777" w:rsidR="000642B1" w:rsidRDefault="000642B1" w:rsidP="00FA2828">
            <w:pPr>
              <w:jc w:val="center"/>
            </w:pPr>
          </w:p>
        </w:tc>
        <w:tc>
          <w:tcPr>
            <w:tcW w:w="2268" w:type="dxa"/>
            <w:vAlign w:val="center"/>
          </w:tcPr>
          <w:p w14:paraId="32F42151" w14:textId="17D4D6F4" w:rsidR="000642B1" w:rsidRDefault="000642B1" w:rsidP="00C34118">
            <w:r>
              <w:t>Standard Dev B</w:t>
            </w:r>
          </w:p>
        </w:tc>
        <w:tc>
          <w:tcPr>
            <w:tcW w:w="6798" w:type="dxa"/>
            <w:vAlign w:val="center"/>
          </w:tcPr>
          <w:p w14:paraId="5AAEDE51" w14:textId="048E9F71" w:rsidR="000642B1" w:rsidRDefault="000642B1" w:rsidP="00C34118">
            <w:r>
              <w:t>Standard deviation value of the blue channel in the component</w:t>
            </w:r>
          </w:p>
        </w:tc>
      </w:tr>
      <w:tr w:rsidR="00FA2828" w14:paraId="02322457" w14:textId="77777777" w:rsidTr="00C34118">
        <w:tc>
          <w:tcPr>
            <w:tcW w:w="562" w:type="dxa"/>
            <w:vMerge/>
            <w:shd w:val="clear" w:color="auto" w:fill="DEEAF6" w:themeFill="accent5" w:themeFillTint="33"/>
            <w:vAlign w:val="center"/>
          </w:tcPr>
          <w:p w14:paraId="27205D18" w14:textId="77777777" w:rsidR="00FA2828" w:rsidRDefault="00FA2828" w:rsidP="00FA2828">
            <w:pPr>
              <w:jc w:val="center"/>
            </w:pPr>
          </w:p>
        </w:tc>
        <w:tc>
          <w:tcPr>
            <w:tcW w:w="2268" w:type="dxa"/>
            <w:vAlign w:val="center"/>
          </w:tcPr>
          <w:p w14:paraId="1FA03544" w14:textId="134B61B4" w:rsidR="00FA2828" w:rsidRDefault="00FA2828" w:rsidP="00C34118">
            <w:r>
              <w:t>Minimum R</w:t>
            </w:r>
          </w:p>
        </w:tc>
        <w:tc>
          <w:tcPr>
            <w:tcW w:w="6798" w:type="dxa"/>
            <w:vAlign w:val="center"/>
          </w:tcPr>
          <w:p w14:paraId="6028397C" w14:textId="585B2958" w:rsidR="00FA2828" w:rsidRDefault="000642B1" w:rsidP="00C34118">
            <w:r>
              <w:t>Minimum value of the red channel in the component</w:t>
            </w:r>
          </w:p>
        </w:tc>
      </w:tr>
      <w:tr w:rsidR="00FA2828" w14:paraId="02E35FB9" w14:textId="77777777" w:rsidTr="00C34118">
        <w:tc>
          <w:tcPr>
            <w:tcW w:w="562" w:type="dxa"/>
            <w:vMerge/>
            <w:shd w:val="clear" w:color="auto" w:fill="DEEAF6" w:themeFill="accent5" w:themeFillTint="33"/>
            <w:vAlign w:val="center"/>
          </w:tcPr>
          <w:p w14:paraId="78CB7488" w14:textId="77777777" w:rsidR="00FA2828" w:rsidRDefault="00FA2828" w:rsidP="00FA2828">
            <w:pPr>
              <w:jc w:val="center"/>
            </w:pPr>
          </w:p>
        </w:tc>
        <w:tc>
          <w:tcPr>
            <w:tcW w:w="2268" w:type="dxa"/>
            <w:vAlign w:val="center"/>
          </w:tcPr>
          <w:p w14:paraId="30427008" w14:textId="20781918" w:rsidR="00FA2828" w:rsidRDefault="00FA2828" w:rsidP="00C34118">
            <w:r>
              <w:t>Minimum G</w:t>
            </w:r>
          </w:p>
        </w:tc>
        <w:tc>
          <w:tcPr>
            <w:tcW w:w="6798" w:type="dxa"/>
            <w:vAlign w:val="center"/>
          </w:tcPr>
          <w:p w14:paraId="7FD0A8A9" w14:textId="7F389048" w:rsidR="00FA2828" w:rsidRDefault="000642B1" w:rsidP="00C34118">
            <w:r>
              <w:t>Minimum value of the green channel in the component</w:t>
            </w:r>
          </w:p>
        </w:tc>
      </w:tr>
      <w:tr w:rsidR="00FA2828" w14:paraId="16C4D565" w14:textId="77777777" w:rsidTr="00C34118">
        <w:tc>
          <w:tcPr>
            <w:tcW w:w="562" w:type="dxa"/>
            <w:vMerge/>
            <w:shd w:val="clear" w:color="auto" w:fill="DEEAF6" w:themeFill="accent5" w:themeFillTint="33"/>
            <w:vAlign w:val="center"/>
          </w:tcPr>
          <w:p w14:paraId="0406039C" w14:textId="77777777" w:rsidR="00FA2828" w:rsidRDefault="00FA2828" w:rsidP="00FA2828">
            <w:pPr>
              <w:jc w:val="center"/>
            </w:pPr>
          </w:p>
        </w:tc>
        <w:tc>
          <w:tcPr>
            <w:tcW w:w="2268" w:type="dxa"/>
            <w:vAlign w:val="center"/>
          </w:tcPr>
          <w:p w14:paraId="75C528AC" w14:textId="70094C86" w:rsidR="00FA2828" w:rsidRDefault="00FA2828" w:rsidP="00C34118">
            <w:r>
              <w:t>Minimum B</w:t>
            </w:r>
          </w:p>
        </w:tc>
        <w:tc>
          <w:tcPr>
            <w:tcW w:w="6798" w:type="dxa"/>
            <w:vAlign w:val="center"/>
          </w:tcPr>
          <w:p w14:paraId="27B646BF" w14:textId="231F1A00" w:rsidR="00FA2828" w:rsidRDefault="000642B1" w:rsidP="00C34118">
            <w:r>
              <w:t>Minimum value of the blue channel in the component</w:t>
            </w:r>
          </w:p>
        </w:tc>
      </w:tr>
      <w:tr w:rsidR="000642B1" w14:paraId="59F615A7" w14:textId="77777777" w:rsidTr="00C34118">
        <w:tc>
          <w:tcPr>
            <w:tcW w:w="562" w:type="dxa"/>
            <w:vMerge/>
            <w:shd w:val="clear" w:color="auto" w:fill="DEEAF6" w:themeFill="accent5" w:themeFillTint="33"/>
          </w:tcPr>
          <w:p w14:paraId="1255929B" w14:textId="77777777" w:rsidR="000642B1" w:rsidRDefault="000642B1" w:rsidP="000642B1">
            <w:pPr>
              <w:jc w:val="center"/>
            </w:pPr>
          </w:p>
        </w:tc>
        <w:tc>
          <w:tcPr>
            <w:tcW w:w="2268" w:type="dxa"/>
            <w:vAlign w:val="center"/>
          </w:tcPr>
          <w:p w14:paraId="77E5F323" w14:textId="559F145F" w:rsidR="000642B1" w:rsidRDefault="000642B1" w:rsidP="00C34118">
            <w:r>
              <w:t>Maximum R</w:t>
            </w:r>
          </w:p>
        </w:tc>
        <w:tc>
          <w:tcPr>
            <w:tcW w:w="6798" w:type="dxa"/>
            <w:vAlign w:val="center"/>
          </w:tcPr>
          <w:p w14:paraId="4BAD7F36" w14:textId="3D39655C" w:rsidR="000642B1" w:rsidRDefault="000642B1" w:rsidP="00C34118">
            <w:r>
              <w:t>Maximum value of the red channel in the component</w:t>
            </w:r>
          </w:p>
        </w:tc>
      </w:tr>
      <w:tr w:rsidR="000642B1" w14:paraId="3FA38B1F" w14:textId="77777777" w:rsidTr="00C34118">
        <w:tc>
          <w:tcPr>
            <w:tcW w:w="562" w:type="dxa"/>
            <w:vMerge/>
            <w:shd w:val="clear" w:color="auto" w:fill="DEEAF6" w:themeFill="accent5" w:themeFillTint="33"/>
          </w:tcPr>
          <w:p w14:paraId="50A99C1B" w14:textId="77777777" w:rsidR="000642B1" w:rsidRDefault="000642B1" w:rsidP="000642B1">
            <w:pPr>
              <w:jc w:val="center"/>
            </w:pPr>
          </w:p>
        </w:tc>
        <w:tc>
          <w:tcPr>
            <w:tcW w:w="2268" w:type="dxa"/>
            <w:vAlign w:val="center"/>
          </w:tcPr>
          <w:p w14:paraId="15D69BFE" w14:textId="2DB55080" w:rsidR="000642B1" w:rsidRDefault="000642B1" w:rsidP="00C34118">
            <w:r>
              <w:t>Maximum G</w:t>
            </w:r>
          </w:p>
        </w:tc>
        <w:tc>
          <w:tcPr>
            <w:tcW w:w="6798" w:type="dxa"/>
            <w:vAlign w:val="center"/>
          </w:tcPr>
          <w:p w14:paraId="652B0D21" w14:textId="4598D709" w:rsidR="000642B1" w:rsidRDefault="000642B1" w:rsidP="00C34118">
            <w:r>
              <w:t>Maximum value of the green channel in the component</w:t>
            </w:r>
          </w:p>
        </w:tc>
      </w:tr>
      <w:tr w:rsidR="000642B1" w14:paraId="708BC528" w14:textId="77777777" w:rsidTr="00C34118">
        <w:tc>
          <w:tcPr>
            <w:tcW w:w="562" w:type="dxa"/>
            <w:vMerge/>
            <w:shd w:val="clear" w:color="auto" w:fill="DEEAF6" w:themeFill="accent5" w:themeFillTint="33"/>
          </w:tcPr>
          <w:p w14:paraId="001CFFD4" w14:textId="77777777" w:rsidR="000642B1" w:rsidRDefault="000642B1" w:rsidP="000642B1">
            <w:pPr>
              <w:jc w:val="center"/>
            </w:pPr>
          </w:p>
        </w:tc>
        <w:tc>
          <w:tcPr>
            <w:tcW w:w="2268" w:type="dxa"/>
            <w:tcBorders>
              <w:bottom w:val="single" w:sz="12" w:space="0" w:color="auto"/>
            </w:tcBorders>
            <w:vAlign w:val="center"/>
          </w:tcPr>
          <w:p w14:paraId="738F1A24" w14:textId="4300229B" w:rsidR="000642B1" w:rsidRDefault="000642B1" w:rsidP="00C34118">
            <w:r>
              <w:t>Maximum B</w:t>
            </w:r>
          </w:p>
        </w:tc>
        <w:tc>
          <w:tcPr>
            <w:tcW w:w="6798" w:type="dxa"/>
            <w:tcBorders>
              <w:bottom w:val="single" w:sz="12" w:space="0" w:color="auto"/>
            </w:tcBorders>
            <w:vAlign w:val="center"/>
          </w:tcPr>
          <w:p w14:paraId="53EAC4C6" w14:textId="46C5E2EF" w:rsidR="000642B1" w:rsidRDefault="000642B1" w:rsidP="00C34118">
            <w:r>
              <w:t>Maximum value of the blue channel in the component</w:t>
            </w:r>
          </w:p>
        </w:tc>
      </w:tr>
      <w:tr w:rsidR="000642B1" w14:paraId="17B490EC" w14:textId="77777777" w:rsidTr="00C34118">
        <w:tc>
          <w:tcPr>
            <w:tcW w:w="562" w:type="dxa"/>
            <w:vMerge/>
            <w:shd w:val="clear" w:color="auto" w:fill="DEEAF6" w:themeFill="accent5" w:themeFillTint="33"/>
          </w:tcPr>
          <w:p w14:paraId="7759F691" w14:textId="77777777" w:rsidR="000642B1" w:rsidRDefault="000642B1" w:rsidP="000642B1">
            <w:pPr>
              <w:jc w:val="center"/>
            </w:pPr>
          </w:p>
        </w:tc>
        <w:tc>
          <w:tcPr>
            <w:tcW w:w="2268" w:type="dxa"/>
            <w:tcBorders>
              <w:top w:val="single" w:sz="12" w:space="0" w:color="auto"/>
            </w:tcBorders>
            <w:vAlign w:val="center"/>
          </w:tcPr>
          <w:p w14:paraId="51550E33" w14:textId="0B5BEA93" w:rsidR="000642B1" w:rsidRDefault="000642B1" w:rsidP="00C34118">
            <w:r>
              <w:t>Average H</w:t>
            </w:r>
          </w:p>
        </w:tc>
        <w:tc>
          <w:tcPr>
            <w:tcW w:w="6798" w:type="dxa"/>
            <w:tcBorders>
              <w:top w:val="single" w:sz="12" w:space="0" w:color="auto"/>
            </w:tcBorders>
            <w:vAlign w:val="center"/>
          </w:tcPr>
          <w:p w14:paraId="470EA3F4" w14:textId="1F796288" w:rsidR="000642B1" w:rsidRDefault="000642B1" w:rsidP="00C34118">
            <w:r>
              <w:t>Average value of hue channel in the component</w:t>
            </w:r>
          </w:p>
        </w:tc>
      </w:tr>
      <w:tr w:rsidR="000642B1" w14:paraId="63CAB4A4" w14:textId="77777777" w:rsidTr="00C34118">
        <w:tc>
          <w:tcPr>
            <w:tcW w:w="562" w:type="dxa"/>
            <w:vMerge/>
            <w:shd w:val="clear" w:color="auto" w:fill="DEEAF6" w:themeFill="accent5" w:themeFillTint="33"/>
          </w:tcPr>
          <w:p w14:paraId="052879F1" w14:textId="77777777" w:rsidR="000642B1" w:rsidRDefault="000642B1" w:rsidP="000642B1">
            <w:pPr>
              <w:jc w:val="center"/>
            </w:pPr>
          </w:p>
        </w:tc>
        <w:tc>
          <w:tcPr>
            <w:tcW w:w="2268" w:type="dxa"/>
            <w:vAlign w:val="center"/>
          </w:tcPr>
          <w:p w14:paraId="7CDABB9C" w14:textId="7B46760E" w:rsidR="000642B1" w:rsidRDefault="000642B1" w:rsidP="00C34118">
            <w:r>
              <w:t>Average S</w:t>
            </w:r>
          </w:p>
        </w:tc>
        <w:tc>
          <w:tcPr>
            <w:tcW w:w="6798" w:type="dxa"/>
            <w:vAlign w:val="center"/>
          </w:tcPr>
          <w:p w14:paraId="6E5C3E30" w14:textId="3841EB47" w:rsidR="000642B1" w:rsidRDefault="000642B1" w:rsidP="00C34118">
            <w:r>
              <w:t>Average value of saturation channel in the component</w:t>
            </w:r>
          </w:p>
        </w:tc>
      </w:tr>
      <w:tr w:rsidR="000642B1" w14:paraId="4967A0C6" w14:textId="77777777" w:rsidTr="00C34118">
        <w:tc>
          <w:tcPr>
            <w:tcW w:w="562" w:type="dxa"/>
            <w:vMerge/>
            <w:shd w:val="clear" w:color="auto" w:fill="DEEAF6" w:themeFill="accent5" w:themeFillTint="33"/>
          </w:tcPr>
          <w:p w14:paraId="7280E57F" w14:textId="77777777" w:rsidR="000642B1" w:rsidRDefault="000642B1" w:rsidP="000642B1">
            <w:pPr>
              <w:jc w:val="center"/>
            </w:pPr>
          </w:p>
        </w:tc>
        <w:tc>
          <w:tcPr>
            <w:tcW w:w="2268" w:type="dxa"/>
            <w:vAlign w:val="center"/>
          </w:tcPr>
          <w:p w14:paraId="55F124E2" w14:textId="040022FC" w:rsidR="000642B1" w:rsidRDefault="000642B1" w:rsidP="00C34118">
            <w:r>
              <w:t>Average V</w:t>
            </w:r>
          </w:p>
        </w:tc>
        <w:tc>
          <w:tcPr>
            <w:tcW w:w="6798" w:type="dxa"/>
            <w:vAlign w:val="center"/>
          </w:tcPr>
          <w:p w14:paraId="1F20D3BC" w14:textId="659DE514" w:rsidR="000642B1" w:rsidRDefault="000642B1" w:rsidP="00C34118">
            <w:r>
              <w:t>Average value of V channel in the component</w:t>
            </w:r>
          </w:p>
        </w:tc>
      </w:tr>
      <w:tr w:rsidR="000642B1" w14:paraId="0DEE1B04" w14:textId="77777777" w:rsidTr="00C34118">
        <w:tc>
          <w:tcPr>
            <w:tcW w:w="562" w:type="dxa"/>
            <w:vMerge/>
            <w:shd w:val="clear" w:color="auto" w:fill="DEEAF6" w:themeFill="accent5" w:themeFillTint="33"/>
          </w:tcPr>
          <w:p w14:paraId="10C5535A" w14:textId="77777777" w:rsidR="000642B1" w:rsidRDefault="000642B1" w:rsidP="000642B1">
            <w:pPr>
              <w:jc w:val="center"/>
            </w:pPr>
          </w:p>
        </w:tc>
        <w:tc>
          <w:tcPr>
            <w:tcW w:w="2268" w:type="dxa"/>
            <w:vAlign w:val="center"/>
          </w:tcPr>
          <w:p w14:paraId="7D1B5405" w14:textId="4E849BA3" w:rsidR="000642B1" w:rsidRDefault="000642B1" w:rsidP="00C34118">
            <w:r>
              <w:t>Standard Dev H</w:t>
            </w:r>
          </w:p>
        </w:tc>
        <w:tc>
          <w:tcPr>
            <w:tcW w:w="6798" w:type="dxa"/>
            <w:vAlign w:val="center"/>
          </w:tcPr>
          <w:p w14:paraId="1C734A17" w14:textId="471D71E9" w:rsidR="000642B1" w:rsidRDefault="000642B1" w:rsidP="00C34118">
            <w:r>
              <w:t>Standard deviation value of the hue channel in the component</w:t>
            </w:r>
          </w:p>
        </w:tc>
      </w:tr>
      <w:tr w:rsidR="000642B1" w14:paraId="7E92A770" w14:textId="77777777" w:rsidTr="00C34118">
        <w:tc>
          <w:tcPr>
            <w:tcW w:w="562" w:type="dxa"/>
            <w:vMerge/>
            <w:shd w:val="clear" w:color="auto" w:fill="DEEAF6" w:themeFill="accent5" w:themeFillTint="33"/>
          </w:tcPr>
          <w:p w14:paraId="42C6DC0F" w14:textId="77777777" w:rsidR="000642B1" w:rsidRDefault="000642B1" w:rsidP="000642B1">
            <w:pPr>
              <w:jc w:val="center"/>
            </w:pPr>
          </w:p>
        </w:tc>
        <w:tc>
          <w:tcPr>
            <w:tcW w:w="2268" w:type="dxa"/>
            <w:vAlign w:val="center"/>
          </w:tcPr>
          <w:p w14:paraId="61F5018A" w14:textId="308E15D2" w:rsidR="000642B1" w:rsidRDefault="000642B1" w:rsidP="00C34118">
            <w:r>
              <w:t>Standard Dev S</w:t>
            </w:r>
          </w:p>
        </w:tc>
        <w:tc>
          <w:tcPr>
            <w:tcW w:w="6798" w:type="dxa"/>
            <w:vAlign w:val="center"/>
          </w:tcPr>
          <w:p w14:paraId="0F490006" w14:textId="2E8DADF3" w:rsidR="000642B1" w:rsidRDefault="000642B1" w:rsidP="00C34118">
            <w:r>
              <w:t>Standard deviation value of the saturation channel in the component</w:t>
            </w:r>
          </w:p>
        </w:tc>
      </w:tr>
      <w:tr w:rsidR="000642B1" w14:paraId="39726FDA" w14:textId="77777777" w:rsidTr="00C34118">
        <w:tc>
          <w:tcPr>
            <w:tcW w:w="562" w:type="dxa"/>
            <w:vMerge/>
            <w:shd w:val="clear" w:color="auto" w:fill="DEEAF6" w:themeFill="accent5" w:themeFillTint="33"/>
          </w:tcPr>
          <w:p w14:paraId="5AFDF887" w14:textId="77777777" w:rsidR="000642B1" w:rsidRDefault="000642B1" w:rsidP="000642B1">
            <w:pPr>
              <w:jc w:val="center"/>
            </w:pPr>
          </w:p>
        </w:tc>
        <w:tc>
          <w:tcPr>
            <w:tcW w:w="2268" w:type="dxa"/>
            <w:vAlign w:val="center"/>
          </w:tcPr>
          <w:p w14:paraId="5C344CBA" w14:textId="3D787565" w:rsidR="000642B1" w:rsidRDefault="000642B1" w:rsidP="00C34118">
            <w:r>
              <w:t>Standard Dev V</w:t>
            </w:r>
          </w:p>
        </w:tc>
        <w:tc>
          <w:tcPr>
            <w:tcW w:w="6798" w:type="dxa"/>
            <w:vAlign w:val="center"/>
          </w:tcPr>
          <w:p w14:paraId="5D7054CF" w14:textId="28D7941E" w:rsidR="000642B1" w:rsidRDefault="000642B1" w:rsidP="00C34118">
            <w:r>
              <w:t>Standard deviation value of the V channel in the component</w:t>
            </w:r>
          </w:p>
        </w:tc>
      </w:tr>
      <w:tr w:rsidR="000642B1" w14:paraId="417E1D17" w14:textId="77777777" w:rsidTr="00C34118">
        <w:tc>
          <w:tcPr>
            <w:tcW w:w="562" w:type="dxa"/>
            <w:vMerge/>
            <w:shd w:val="clear" w:color="auto" w:fill="DEEAF6" w:themeFill="accent5" w:themeFillTint="33"/>
          </w:tcPr>
          <w:p w14:paraId="5C5DD2FE" w14:textId="77777777" w:rsidR="000642B1" w:rsidRDefault="000642B1" w:rsidP="000642B1">
            <w:pPr>
              <w:jc w:val="center"/>
            </w:pPr>
          </w:p>
        </w:tc>
        <w:tc>
          <w:tcPr>
            <w:tcW w:w="2268" w:type="dxa"/>
            <w:vAlign w:val="center"/>
          </w:tcPr>
          <w:p w14:paraId="167446FF" w14:textId="15C8BEC7" w:rsidR="000642B1" w:rsidRDefault="000642B1" w:rsidP="00C34118">
            <w:r>
              <w:t>Minimum H</w:t>
            </w:r>
          </w:p>
        </w:tc>
        <w:tc>
          <w:tcPr>
            <w:tcW w:w="6798" w:type="dxa"/>
            <w:vAlign w:val="center"/>
          </w:tcPr>
          <w:p w14:paraId="05D46D9F" w14:textId="55845CF2" w:rsidR="000642B1" w:rsidRDefault="000642B1" w:rsidP="00C34118">
            <w:r>
              <w:t>Minimum value of the hue channel in the component</w:t>
            </w:r>
          </w:p>
        </w:tc>
      </w:tr>
      <w:tr w:rsidR="000642B1" w14:paraId="1F01D601" w14:textId="77777777" w:rsidTr="00C34118">
        <w:tc>
          <w:tcPr>
            <w:tcW w:w="562" w:type="dxa"/>
            <w:vMerge/>
            <w:shd w:val="clear" w:color="auto" w:fill="DEEAF6" w:themeFill="accent5" w:themeFillTint="33"/>
          </w:tcPr>
          <w:p w14:paraId="1E2EDB44" w14:textId="77777777" w:rsidR="000642B1" w:rsidRDefault="000642B1" w:rsidP="000642B1">
            <w:pPr>
              <w:jc w:val="center"/>
            </w:pPr>
          </w:p>
        </w:tc>
        <w:tc>
          <w:tcPr>
            <w:tcW w:w="2268" w:type="dxa"/>
            <w:vAlign w:val="center"/>
          </w:tcPr>
          <w:p w14:paraId="069E865D" w14:textId="59E4BA3F" w:rsidR="000642B1" w:rsidRDefault="000642B1" w:rsidP="00C34118">
            <w:r>
              <w:t>Minimum S</w:t>
            </w:r>
          </w:p>
        </w:tc>
        <w:tc>
          <w:tcPr>
            <w:tcW w:w="6798" w:type="dxa"/>
            <w:vAlign w:val="center"/>
          </w:tcPr>
          <w:p w14:paraId="0A955C47" w14:textId="17834608" w:rsidR="000642B1" w:rsidRDefault="000642B1" w:rsidP="00C34118">
            <w:r>
              <w:t>Minimum value of the saturation channel in the component</w:t>
            </w:r>
          </w:p>
        </w:tc>
      </w:tr>
      <w:tr w:rsidR="000642B1" w14:paraId="2287CF48" w14:textId="77777777" w:rsidTr="00C34118">
        <w:tc>
          <w:tcPr>
            <w:tcW w:w="562" w:type="dxa"/>
            <w:vMerge/>
            <w:shd w:val="clear" w:color="auto" w:fill="DEEAF6" w:themeFill="accent5" w:themeFillTint="33"/>
          </w:tcPr>
          <w:p w14:paraId="247B9F69" w14:textId="77777777" w:rsidR="000642B1" w:rsidRDefault="000642B1" w:rsidP="000642B1">
            <w:pPr>
              <w:jc w:val="center"/>
            </w:pPr>
          </w:p>
        </w:tc>
        <w:tc>
          <w:tcPr>
            <w:tcW w:w="2268" w:type="dxa"/>
            <w:vAlign w:val="center"/>
          </w:tcPr>
          <w:p w14:paraId="359F37B7" w14:textId="7AFA2829" w:rsidR="000642B1" w:rsidRDefault="000642B1" w:rsidP="00C34118">
            <w:r>
              <w:t>Minimum V</w:t>
            </w:r>
          </w:p>
        </w:tc>
        <w:tc>
          <w:tcPr>
            <w:tcW w:w="6798" w:type="dxa"/>
            <w:vAlign w:val="center"/>
          </w:tcPr>
          <w:p w14:paraId="382946A4" w14:textId="36B0F6F2" w:rsidR="000642B1" w:rsidRDefault="000642B1" w:rsidP="00C34118">
            <w:r>
              <w:t>Minimum value of the V channel in the component</w:t>
            </w:r>
          </w:p>
        </w:tc>
      </w:tr>
      <w:tr w:rsidR="000642B1" w14:paraId="0A9A5991" w14:textId="77777777" w:rsidTr="00C34118">
        <w:tc>
          <w:tcPr>
            <w:tcW w:w="562" w:type="dxa"/>
            <w:vMerge/>
            <w:shd w:val="clear" w:color="auto" w:fill="DEEAF6" w:themeFill="accent5" w:themeFillTint="33"/>
          </w:tcPr>
          <w:p w14:paraId="1748544C" w14:textId="77777777" w:rsidR="000642B1" w:rsidRDefault="000642B1" w:rsidP="000642B1">
            <w:pPr>
              <w:jc w:val="center"/>
            </w:pPr>
          </w:p>
        </w:tc>
        <w:tc>
          <w:tcPr>
            <w:tcW w:w="2268" w:type="dxa"/>
            <w:vAlign w:val="center"/>
          </w:tcPr>
          <w:p w14:paraId="4CD6AC9E" w14:textId="5B74EC48" w:rsidR="000642B1" w:rsidRDefault="000642B1" w:rsidP="00C34118">
            <w:r>
              <w:t>Maximum H</w:t>
            </w:r>
          </w:p>
        </w:tc>
        <w:tc>
          <w:tcPr>
            <w:tcW w:w="6798" w:type="dxa"/>
            <w:vAlign w:val="center"/>
          </w:tcPr>
          <w:p w14:paraId="62A90E66" w14:textId="5ABC3E3F" w:rsidR="000642B1" w:rsidRDefault="000642B1" w:rsidP="00C34118">
            <w:r>
              <w:t>Maximum value of the hue channel in the component</w:t>
            </w:r>
          </w:p>
        </w:tc>
      </w:tr>
      <w:tr w:rsidR="000642B1" w14:paraId="262FB18A" w14:textId="77777777" w:rsidTr="00C34118">
        <w:tc>
          <w:tcPr>
            <w:tcW w:w="562" w:type="dxa"/>
            <w:vMerge/>
            <w:shd w:val="clear" w:color="auto" w:fill="DEEAF6" w:themeFill="accent5" w:themeFillTint="33"/>
          </w:tcPr>
          <w:p w14:paraId="5E6AC27A" w14:textId="77777777" w:rsidR="000642B1" w:rsidRDefault="000642B1" w:rsidP="000642B1">
            <w:pPr>
              <w:jc w:val="center"/>
            </w:pPr>
          </w:p>
        </w:tc>
        <w:tc>
          <w:tcPr>
            <w:tcW w:w="2268" w:type="dxa"/>
            <w:vAlign w:val="center"/>
          </w:tcPr>
          <w:p w14:paraId="40B3A201" w14:textId="2DDE7EF4" w:rsidR="000642B1" w:rsidRDefault="000642B1" w:rsidP="00C34118">
            <w:r>
              <w:t>Maximum S</w:t>
            </w:r>
          </w:p>
        </w:tc>
        <w:tc>
          <w:tcPr>
            <w:tcW w:w="6798" w:type="dxa"/>
            <w:vAlign w:val="center"/>
          </w:tcPr>
          <w:p w14:paraId="465AD87B" w14:textId="036CD979" w:rsidR="000642B1" w:rsidRDefault="000642B1" w:rsidP="00C34118">
            <w:r>
              <w:t>Maximum value of the saturation channel in the component</w:t>
            </w:r>
          </w:p>
        </w:tc>
      </w:tr>
      <w:tr w:rsidR="000642B1" w14:paraId="39DE244C" w14:textId="77777777" w:rsidTr="00C34118">
        <w:tc>
          <w:tcPr>
            <w:tcW w:w="562" w:type="dxa"/>
            <w:vMerge/>
            <w:shd w:val="clear" w:color="auto" w:fill="DEEAF6" w:themeFill="accent5" w:themeFillTint="33"/>
          </w:tcPr>
          <w:p w14:paraId="0EBAC038" w14:textId="77777777" w:rsidR="000642B1" w:rsidRDefault="000642B1" w:rsidP="000642B1">
            <w:pPr>
              <w:jc w:val="center"/>
            </w:pPr>
          </w:p>
        </w:tc>
        <w:tc>
          <w:tcPr>
            <w:tcW w:w="2268" w:type="dxa"/>
            <w:tcBorders>
              <w:bottom w:val="single" w:sz="12" w:space="0" w:color="auto"/>
            </w:tcBorders>
            <w:vAlign w:val="center"/>
          </w:tcPr>
          <w:p w14:paraId="2D6CE9F4" w14:textId="1597C922" w:rsidR="000642B1" w:rsidRDefault="000642B1" w:rsidP="00C34118">
            <w:r>
              <w:t>Maximum V</w:t>
            </w:r>
          </w:p>
        </w:tc>
        <w:tc>
          <w:tcPr>
            <w:tcW w:w="6798" w:type="dxa"/>
            <w:tcBorders>
              <w:bottom w:val="single" w:sz="12" w:space="0" w:color="auto"/>
            </w:tcBorders>
            <w:vAlign w:val="center"/>
          </w:tcPr>
          <w:p w14:paraId="465805AA" w14:textId="50F68F43" w:rsidR="000642B1" w:rsidRDefault="000642B1" w:rsidP="00C34118">
            <w:r>
              <w:t>Maximum value of the V channel in the component</w:t>
            </w:r>
          </w:p>
        </w:tc>
      </w:tr>
      <w:tr w:rsidR="000642B1" w14:paraId="205E4975" w14:textId="77777777" w:rsidTr="00C34118">
        <w:tc>
          <w:tcPr>
            <w:tcW w:w="562" w:type="dxa"/>
            <w:vMerge/>
            <w:shd w:val="clear" w:color="auto" w:fill="DEEAF6" w:themeFill="accent5" w:themeFillTint="33"/>
          </w:tcPr>
          <w:p w14:paraId="2A492706" w14:textId="77777777" w:rsidR="000642B1" w:rsidRDefault="000642B1" w:rsidP="000642B1">
            <w:pPr>
              <w:jc w:val="center"/>
            </w:pPr>
          </w:p>
        </w:tc>
        <w:tc>
          <w:tcPr>
            <w:tcW w:w="2268" w:type="dxa"/>
            <w:tcBorders>
              <w:top w:val="single" w:sz="12" w:space="0" w:color="auto"/>
            </w:tcBorders>
            <w:vAlign w:val="center"/>
          </w:tcPr>
          <w:p w14:paraId="536AEA91" w14:textId="736893F6" w:rsidR="000642B1" w:rsidRDefault="000642B1" w:rsidP="00C34118">
            <w:proofErr w:type="spellStart"/>
            <w:r>
              <w:t>Haralick’s</w:t>
            </w:r>
            <w:proofErr w:type="spellEnd"/>
            <w:r>
              <w:t xml:space="preserve"> features</w:t>
            </w:r>
            <w:r w:rsidR="00C34118">
              <w:t xml:space="preserve"> </w:t>
            </w:r>
            <w:r w:rsidR="00C34118">
              <w:fldChar w:fldCharType="begin"/>
            </w:r>
            <w:r w:rsidR="00C34118">
              <w:instrText xml:space="preserve"> ADDIN ZOTERO_ITEM CSL_CITATION {"citationID":"zp7ab0JM","properties":{"formattedCitation":"\\super 1\\nosupersub{}","plainCitation":"1","noteIndex":0},"citationItems":[{"id":702,"uris":["http://zotero.org/users/local/ESQslKFe/items/QD8H3LLT"],"itemData":{"id":702,"type":"article-journal","container-title":"IEEE Transactions on Systems, Man, and Cybernetics","DOI":"10.1109/TSMC.1973.4309314","ISSN":"0018-9472, 2168-2909","issue":"6","journalAbbreviation":"IEEE Trans. Syst., Man, Cybern.","page":"610-621","source":"DOI.org (Crossref)","title":"Textural Features for Image Classification","volume":"SMC-3","author":[{"family":"Haralick","given":"Robert M."},{"family":"Shanmugam","given":"K."},{"family":"Dinstein","given":"Its'Hak"}],"issued":{"date-parts":[["1973",11]]}}}],"schema":"https://github.com/citation-style-language/schema/raw/master/csl-citation.json"} </w:instrText>
            </w:r>
            <w:r w:rsidR="00C34118">
              <w:fldChar w:fldCharType="separate"/>
            </w:r>
            <w:r w:rsidR="00C34118" w:rsidRPr="00C34118">
              <w:rPr>
                <w:vertAlign w:val="superscript"/>
              </w:rPr>
              <w:t>1</w:t>
            </w:r>
            <w:r w:rsidR="00C34118">
              <w:fldChar w:fldCharType="end"/>
            </w:r>
          </w:p>
        </w:tc>
        <w:tc>
          <w:tcPr>
            <w:tcW w:w="6798" w:type="dxa"/>
            <w:tcBorders>
              <w:top w:val="single" w:sz="12" w:space="0" w:color="auto"/>
            </w:tcBorders>
            <w:vAlign w:val="center"/>
          </w:tcPr>
          <w:p w14:paraId="47B5B144" w14:textId="51C04599" w:rsidR="000642B1" w:rsidRDefault="000642B1" w:rsidP="00C34118">
            <w:r>
              <w:t xml:space="preserve">Standard </w:t>
            </w:r>
            <w:r w:rsidR="001145C1">
              <w:t xml:space="preserve">13 </w:t>
            </w:r>
            <w:proofErr w:type="spellStart"/>
            <w:r>
              <w:t>Haralick’s</w:t>
            </w:r>
            <w:proofErr w:type="spellEnd"/>
            <w:r>
              <w:t xml:space="preserve"> features for texture analysis</w:t>
            </w:r>
          </w:p>
        </w:tc>
      </w:tr>
    </w:tbl>
    <w:p w14:paraId="705E58E2" w14:textId="77777777" w:rsidR="00BD4EC1" w:rsidRDefault="00BD4EC1">
      <w:pPr>
        <w:jc w:val="both"/>
      </w:pPr>
    </w:p>
    <w:p w14:paraId="54783513" w14:textId="77777777" w:rsidR="00C350E4" w:rsidRPr="00C350E4" w:rsidRDefault="00C350E4" w:rsidP="00C350E4">
      <w:pPr>
        <w:jc w:val="both"/>
        <w:rPr>
          <w:b/>
        </w:rPr>
      </w:pPr>
      <w:r w:rsidRPr="00C350E4">
        <w:rPr>
          <w:b/>
        </w:rPr>
        <w:t xml:space="preserve">Algorithm settings and additional outputs </w:t>
      </w:r>
    </w:p>
    <w:p w14:paraId="2298F97A" w14:textId="77777777" w:rsidR="00C350E4" w:rsidRDefault="00C350E4" w:rsidP="00C350E4">
      <w:pPr>
        <w:jc w:val="both"/>
      </w:pPr>
      <w:r>
        <w:t>In this section, we first list the hyperparameter settings used for the algorithms and introduce additional classification methods to benchmark the proposed solution. We begin with the methods discussed in the paper:</w:t>
      </w:r>
    </w:p>
    <w:p w14:paraId="61A777C3" w14:textId="77777777" w:rsidR="00C350E4" w:rsidRDefault="00C350E4" w:rsidP="00C350E4">
      <w:pPr>
        <w:pStyle w:val="ListParagraph"/>
        <w:numPr>
          <w:ilvl w:val="0"/>
          <w:numId w:val="1"/>
        </w:numPr>
        <w:jc w:val="both"/>
      </w:pPr>
      <w:r>
        <w:t xml:space="preserve">RDA: The procedure was performed using the </w:t>
      </w:r>
      <w:proofErr w:type="spellStart"/>
      <w:proofErr w:type="gramStart"/>
      <w:r w:rsidRPr="004410BF">
        <w:rPr>
          <w:i/>
          <w:iCs/>
        </w:rPr>
        <w:t>rda</w:t>
      </w:r>
      <w:proofErr w:type="spellEnd"/>
      <w:r w:rsidRPr="004410BF">
        <w:rPr>
          <w:i/>
          <w:iCs/>
        </w:rPr>
        <w:t>(</w:t>
      </w:r>
      <w:proofErr w:type="gramEnd"/>
      <w:r w:rsidRPr="004410BF">
        <w:rPr>
          <w:i/>
          <w:iCs/>
        </w:rPr>
        <w:t>)</w:t>
      </w:r>
      <w:r>
        <w:t xml:space="preserve"> function from the </w:t>
      </w:r>
      <w:proofErr w:type="spellStart"/>
      <w:r w:rsidRPr="004410BF">
        <w:rPr>
          <w:i/>
          <w:iCs/>
        </w:rPr>
        <w:t>klaR</w:t>
      </w:r>
      <w:proofErr w:type="spellEnd"/>
      <w:r>
        <w:t xml:space="preserve"> package, which depends on two hyperparameters. We set </w:t>
      </w:r>
      <w:r w:rsidRPr="004410BF">
        <w:rPr>
          <w:i/>
          <w:iCs/>
        </w:rPr>
        <w:t>γ = 0.32</w:t>
      </w:r>
      <w:r>
        <w:t xml:space="preserve"> and </w:t>
      </w:r>
      <w:r w:rsidRPr="004410BF">
        <w:rPr>
          <w:i/>
          <w:iCs/>
        </w:rPr>
        <w:t>λ = 0.94</w:t>
      </w:r>
      <w:r>
        <w:t>, values obtained through a cross-validation study.</w:t>
      </w:r>
    </w:p>
    <w:p w14:paraId="70AA67C0" w14:textId="77777777" w:rsidR="00C350E4" w:rsidRDefault="00C350E4" w:rsidP="00C350E4">
      <w:pPr>
        <w:pStyle w:val="ListParagraph"/>
        <w:numPr>
          <w:ilvl w:val="0"/>
          <w:numId w:val="1"/>
        </w:numPr>
        <w:jc w:val="both"/>
      </w:pPr>
      <w:r>
        <w:t xml:space="preserve">LDA: The stepwise algorithm is implemented using the </w:t>
      </w:r>
      <w:proofErr w:type="spellStart"/>
      <w:proofErr w:type="gramStart"/>
      <w:r w:rsidRPr="004410BF">
        <w:rPr>
          <w:i/>
          <w:iCs/>
        </w:rPr>
        <w:t>greedy.wilks</w:t>
      </w:r>
      <w:proofErr w:type="spellEnd"/>
      <w:proofErr w:type="gramEnd"/>
      <w:r w:rsidRPr="004410BF">
        <w:rPr>
          <w:i/>
          <w:iCs/>
        </w:rPr>
        <w:t>()</w:t>
      </w:r>
      <w:r>
        <w:t xml:space="preserve"> function from </w:t>
      </w:r>
      <w:proofErr w:type="spellStart"/>
      <w:r w:rsidRPr="004410BF">
        <w:rPr>
          <w:i/>
          <w:iCs/>
        </w:rPr>
        <w:t>klaR</w:t>
      </w:r>
      <w:proofErr w:type="spellEnd"/>
      <w:r>
        <w:t xml:space="preserve">, with the </w:t>
      </w:r>
      <w:proofErr w:type="spellStart"/>
      <w:r w:rsidRPr="004410BF">
        <w:rPr>
          <w:i/>
          <w:iCs/>
        </w:rPr>
        <w:t>niveau</w:t>
      </w:r>
      <w:proofErr w:type="spellEnd"/>
      <w:r>
        <w:t xml:space="preserve"> parameter set to </w:t>
      </w:r>
      <w:r w:rsidRPr="004410BF">
        <w:rPr>
          <w:i/>
          <w:iCs/>
        </w:rPr>
        <w:t>0.15</w:t>
      </w:r>
      <w:r>
        <w:t xml:space="preserve">. The </w:t>
      </w:r>
      <w:proofErr w:type="spellStart"/>
      <w:proofErr w:type="gramStart"/>
      <w:r w:rsidRPr="004410BF">
        <w:rPr>
          <w:i/>
          <w:iCs/>
        </w:rPr>
        <w:t>lda</w:t>
      </w:r>
      <w:proofErr w:type="spellEnd"/>
      <w:r w:rsidRPr="004410BF">
        <w:rPr>
          <w:i/>
          <w:iCs/>
        </w:rPr>
        <w:t>(</w:t>
      </w:r>
      <w:proofErr w:type="gramEnd"/>
      <w:r w:rsidRPr="004410BF">
        <w:rPr>
          <w:i/>
          <w:iCs/>
        </w:rPr>
        <w:t>)</w:t>
      </w:r>
      <w:r>
        <w:t xml:space="preserve"> function from MASS does not require hyperparameter tuning.</w:t>
      </w:r>
    </w:p>
    <w:p w14:paraId="545B30E0" w14:textId="1820C72C" w:rsidR="00C350E4" w:rsidRDefault="00C350E4" w:rsidP="00C350E4">
      <w:pPr>
        <w:jc w:val="both"/>
      </w:pPr>
      <w:r>
        <w:t>As a further benchmark, we consider:</w:t>
      </w:r>
    </w:p>
    <w:p w14:paraId="496EF297" w14:textId="6C217F02" w:rsidR="00C350E4" w:rsidRDefault="00C350E4" w:rsidP="00C350E4">
      <w:pPr>
        <w:pStyle w:val="ListParagraph"/>
        <w:numPr>
          <w:ilvl w:val="0"/>
          <w:numId w:val="2"/>
        </w:numPr>
        <w:jc w:val="both"/>
      </w:pPr>
      <w:r w:rsidRPr="003615EB">
        <w:t xml:space="preserve">Random Forest (RF): The procedure was performed using the default settings of the </w:t>
      </w:r>
      <w:proofErr w:type="spellStart"/>
      <w:r w:rsidRPr="003615EB">
        <w:rPr>
          <w:i/>
          <w:iCs/>
        </w:rPr>
        <w:t>randomForest</w:t>
      </w:r>
      <w:proofErr w:type="spellEnd"/>
      <w:r w:rsidRPr="003615EB">
        <w:rPr>
          <w:i/>
          <w:iCs/>
        </w:rPr>
        <w:t>()</w:t>
      </w:r>
      <w:r w:rsidRPr="003615EB">
        <w:t xml:space="preserve"> function from the </w:t>
      </w:r>
      <w:proofErr w:type="spellStart"/>
      <w:r w:rsidRPr="003615EB">
        <w:rPr>
          <w:i/>
          <w:iCs/>
        </w:rPr>
        <w:t>randomForest</w:t>
      </w:r>
      <w:proofErr w:type="spellEnd"/>
      <w:r w:rsidRPr="003615EB">
        <w:rPr>
          <w:i/>
          <w:iCs/>
        </w:rPr>
        <w:t xml:space="preserve"> </w:t>
      </w:r>
      <w:r w:rsidRPr="003615EB">
        <w:t>package</w:t>
      </w:r>
      <w:r>
        <w:t xml:space="preserve"> </w:t>
      </w:r>
      <w:r>
        <w:fldChar w:fldCharType="begin"/>
      </w:r>
      <w:r w:rsidR="00C34118">
        <w:instrText xml:space="preserve"> ADDIN ZOTERO_ITEM CSL_CITATION {"citationID":"b1LKkphI","properties":{"formattedCitation":"\\super 2\\nosupersub{}","plainCitation":"2","noteIndex":0},"citationItems":[{"id":845,"uris":["http://zotero.org/users/local/ESQslKFe/items/YX4VT7FX"],"itemData":{"id":845,"type":"article-journal","container-title":"Forest","title":"Classification and Regression by RandomForest","volume":"23","author":[{"family":"Liaw","given":"Andy"},{"family":"Wiener","given":"Matthew"}],"issued":{"date-parts":[["2001",11]]}}}],"schema":"https://github.com/citation-style-language/schema/raw/master/csl-citation.json"} </w:instrText>
      </w:r>
      <w:r>
        <w:fldChar w:fldCharType="separate"/>
      </w:r>
      <w:r w:rsidR="00C34118" w:rsidRPr="00C34118">
        <w:rPr>
          <w:vertAlign w:val="superscript"/>
        </w:rPr>
        <w:t>2</w:t>
      </w:r>
      <w:r>
        <w:fldChar w:fldCharType="end"/>
      </w:r>
      <w:r w:rsidR="00047EA2">
        <w:t xml:space="preserve"> (v4.7)</w:t>
      </w:r>
      <w:r w:rsidRPr="003615EB">
        <w:t>.</w:t>
      </w:r>
    </w:p>
    <w:p w14:paraId="405D764E" w14:textId="77777777" w:rsidR="00C350E4" w:rsidRDefault="00C350E4" w:rsidP="00C350E4">
      <w:pPr>
        <w:pStyle w:val="ListParagraph"/>
        <w:numPr>
          <w:ilvl w:val="0"/>
          <w:numId w:val="2"/>
        </w:numPr>
        <w:jc w:val="both"/>
      </w:pPr>
      <w:r w:rsidRPr="003615EB">
        <w:t xml:space="preserve">Boosting: The </w:t>
      </w:r>
      <w:proofErr w:type="spellStart"/>
      <w:proofErr w:type="gramStart"/>
      <w:r w:rsidRPr="003615EB">
        <w:rPr>
          <w:i/>
          <w:iCs/>
        </w:rPr>
        <w:t>randomForest</w:t>
      </w:r>
      <w:proofErr w:type="spellEnd"/>
      <w:r w:rsidRPr="003615EB">
        <w:rPr>
          <w:i/>
          <w:iCs/>
        </w:rPr>
        <w:t>(</w:t>
      </w:r>
      <w:proofErr w:type="gramEnd"/>
      <w:r w:rsidRPr="003615EB">
        <w:rPr>
          <w:i/>
          <w:iCs/>
        </w:rPr>
        <w:t>)</w:t>
      </w:r>
      <w:r w:rsidRPr="003615EB">
        <w:t xml:space="preserve"> function was run with the setting </w:t>
      </w:r>
      <w:proofErr w:type="spellStart"/>
      <w:r w:rsidRPr="003615EB">
        <w:rPr>
          <w:i/>
          <w:iCs/>
        </w:rPr>
        <w:t>mtry</w:t>
      </w:r>
      <w:proofErr w:type="spellEnd"/>
      <w:r w:rsidRPr="003615EB">
        <w:rPr>
          <w:i/>
          <w:iCs/>
        </w:rPr>
        <w:t xml:space="preserve"> = P</w:t>
      </w:r>
      <w:r w:rsidRPr="003615EB">
        <w:t xml:space="preserve">, where </w:t>
      </w:r>
      <w:r w:rsidRPr="003615EB">
        <w:rPr>
          <w:i/>
          <w:iCs/>
        </w:rPr>
        <w:t>P</w:t>
      </w:r>
      <w:r w:rsidRPr="003615EB">
        <w:t xml:space="preserve"> is the number of variables used in the classification procedure.</w:t>
      </w:r>
    </w:p>
    <w:p w14:paraId="5C9053F1" w14:textId="77777777" w:rsidR="00C350E4" w:rsidRDefault="00C350E4" w:rsidP="00C350E4">
      <w:pPr>
        <w:pStyle w:val="ListParagraph"/>
        <w:numPr>
          <w:ilvl w:val="0"/>
          <w:numId w:val="2"/>
        </w:numPr>
        <w:jc w:val="both"/>
      </w:pPr>
      <w:r w:rsidRPr="003615EB">
        <w:t xml:space="preserve">Support Vector Machine (SVM): Implemented using the </w:t>
      </w:r>
      <w:proofErr w:type="spellStart"/>
      <w:proofErr w:type="gramStart"/>
      <w:r w:rsidRPr="003615EB">
        <w:rPr>
          <w:i/>
          <w:iCs/>
        </w:rPr>
        <w:t>svm</w:t>
      </w:r>
      <w:proofErr w:type="spellEnd"/>
      <w:r w:rsidRPr="003615EB">
        <w:rPr>
          <w:i/>
          <w:iCs/>
        </w:rPr>
        <w:t>(</w:t>
      </w:r>
      <w:proofErr w:type="gramEnd"/>
      <w:r w:rsidRPr="003615EB">
        <w:rPr>
          <w:i/>
          <w:iCs/>
        </w:rPr>
        <w:t>)</w:t>
      </w:r>
      <w:r w:rsidRPr="003615EB">
        <w:t xml:space="preserve"> function from the </w:t>
      </w:r>
      <w:r w:rsidRPr="003615EB">
        <w:rPr>
          <w:i/>
          <w:iCs/>
        </w:rPr>
        <w:t>e1071</w:t>
      </w:r>
      <w:r w:rsidRPr="003615EB">
        <w:t xml:space="preserve"> package. A radial kernel was used, with the cost parameter set to </w:t>
      </w:r>
      <w:r w:rsidRPr="003615EB">
        <w:rPr>
          <w:i/>
          <w:iCs/>
        </w:rPr>
        <w:t xml:space="preserve">10 </w:t>
      </w:r>
      <w:r w:rsidRPr="003615EB">
        <w:t xml:space="preserve">and </w:t>
      </w:r>
      <w:r w:rsidRPr="003615EB">
        <w:rPr>
          <w:i/>
          <w:iCs/>
          <w:lang w:val="it-IT"/>
        </w:rPr>
        <w:t>γ</w:t>
      </w:r>
      <w:r w:rsidRPr="003615EB">
        <w:rPr>
          <w:i/>
          <w:iCs/>
        </w:rPr>
        <w:t xml:space="preserve"> = 0.05</w:t>
      </w:r>
      <w:r w:rsidRPr="003615EB">
        <w:t>, as recommended by a cross-validation study.</w:t>
      </w:r>
    </w:p>
    <w:p w14:paraId="27F13AF0" w14:textId="6C7D7410" w:rsidR="00C350E4" w:rsidRDefault="00C350E4" w:rsidP="00C350E4">
      <w:pPr>
        <w:jc w:val="both"/>
      </w:pPr>
      <w:r>
        <w:t xml:space="preserve">Finally, </w:t>
      </w:r>
      <w:r w:rsidR="00C34118" w:rsidRPr="00C34118">
        <w:rPr>
          <w:i/>
          <w:iCs/>
        </w:rPr>
        <w:fldChar w:fldCharType="begin"/>
      </w:r>
      <w:r w:rsidR="00C34118" w:rsidRPr="00C34118">
        <w:rPr>
          <w:i/>
          <w:iCs/>
        </w:rPr>
        <w:instrText xml:space="preserve"> REF _Ref190876793 \h </w:instrText>
      </w:r>
      <w:r w:rsidR="00C34118">
        <w:rPr>
          <w:i/>
          <w:iCs/>
        </w:rPr>
        <w:instrText xml:space="preserve"> \* MERGEFORMAT </w:instrText>
      </w:r>
      <w:r w:rsidR="00C34118" w:rsidRPr="00C34118">
        <w:rPr>
          <w:i/>
          <w:iCs/>
        </w:rPr>
      </w:r>
      <w:r w:rsidR="00C34118" w:rsidRPr="00C34118">
        <w:rPr>
          <w:i/>
          <w:iCs/>
        </w:rPr>
        <w:fldChar w:fldCharType="separate"/>
      </w:r>
      <w:r w:rsidR="00C34118" w:rsidRPr="00C34118">
        <w:rPr>
          <w:b/>
          <w:bCs/>
          <w:i/>
          <w:iCs/>
        </w:rPr>
        <w:t xml:space="preserve">Sup Tab </w:t>
      </w:r>
      <w:r w:rsidR="00C34118" w:rsidRPr="00C34118">
        <w:rPr>
          <w:b/>
          <w:bCs/>
          <w:i/>
          <w:iCs/>
          <w:noProof/>
        </w:rPr>
        <w:t>2</w:t>
      </w:r>
      <w:r w:rsidR="00C34118" w:rsidRPr="00C34118">
        <w:rPr>
          <w:i/>
          <w:iCs/>
        </w:rPr>
        <w:fldChar w:fldCharType="end"/>
      </w:r>
      <w:r w:rsidR="00C34118">
        <w:t xml:space="preserve"> </w:t>
      </w:r>
      <w:r>
        <w:t xml:space="preserve">contains the metrics from the MCCV study including also the further methods described in this section. </w:t>
      </w:r>
    </w:p>
    <w:p w14:paraId="5D503FC3" w14:textId="23DA6E85" w:rsidR="00C34118" w:rsidRDefault="00C34118" w:rsidP="00C34118">
      <w:pPr>
        <w:pStyle w:val="Caption"/>
        <w:keepNext/>
        <w:jc w:val="both"/>
      </w:pPr>
      <w:bookmarkStart w:id="1" w:name="_Ref190876793"/>
      <w:r w:rsidRPr="00C34118">
        <w:rPr>
          <w:b/>
          <w:bCs/>
        </w:rPr>
        <w:lastRenderedPageBreak/>
        <w:t xml:space="preserve">Sup Tab </w:t>
      </w:r>
      <w:r w:rsidRPr="00C34118">
        <w:rPr>
          <w:b/>
          <w:bCs/>
        </w:rPr>
        <w:fldChar w:fldCharType="begin"/>
      </w:r>
      <w:r w:rsidRPr="00C34118">
        <w:rPr>
          <w:b/>
          <w:bCs/>
        </w:rPr>
        <w:instrText xml:space="preserve"> SEQ Sup_Tab \* ARABIC </w:instrText>
      </w:r>
      <w:r w:rsidRPr="00C34118">
        <w:rPr>
          <w:b/>
          <w:bCs/>
        </w:rPr>
        <w:fldChar w:fldCharType="separate"/>
      </w:r>
      <w:r w:rsidRPr="00C34118">
        <w:rPr>
          <w:b/>
          <w:bCs/>
          <w:noProof/>
        </w:rPr>
        <w:t>2</w:t>
      </w:r>
      <w:r w:rsidRPr="00C34118">
        <w:rPr>
          <w:b/>
          <w:bCs/>
        </w:rPr>
        <w:fldChar w:fldCharType="end"/>
      </w:r>
      <w:bookmarkEnd w:id="1"/>
      <w:r w:rsidRPr="00C34118">
        <w:rPr>
          <w:b/>
          <w:bCs/>
        </w:rPr>
        <w:t xml:space="preserve"> </w:t>
      </w:r>
      <w:r w:rsidRPr="00851114">
        <w:rPr>
          <w:b/>
          <w:bCs/>
          <w:i w:val="0"/>
          <w:iCs w:val="0"/>
        </w:rPr>
        <w:t>| Performances of classification methods.</w:t>
      </w:r>
      <w:r w:rsidRPr="00851114">
        <w:t xml:space="preserve"> Average values of the performance indicators evaluated in the Monte Carlo Cross-Validation study</w:t>
      </w:r>
      <w:r>
        <w:t xml:space="preserve"> including additional methods.</w:t>
      </w:r>
    </w:p>
    <w:tbl>
      <w:tblPr>
        <w:tblW w:w="7410" w:type="dxa"/>
        <w:jc w:val="center"/>
        <w:tblBorders>
          <w:top w:val="nil"/>
          <w:left w:val="nil"/>
          <w:bottom w:val="nil"/>
          <w:right w:val="nil"/>
          <w:insideH w:val="nil"/>
          <w:insideV w:val="nil"/>
        </w:tblBorders>
        <w:tblLayout w:type="fixed"/>
        <w:tblLook w:val="0600" w:firstRow="0" w:lastRow="0" w:firstColumn="0" w:lastColumn="0" w:noHBand="1" w:noVBand="1"/>
      </w:tblPr>
      <w:tblGrid>
        <w:gridCol w:w="1005"/>
        <w:gridCol w:w="1350"/>
        <w:gridCol w:w="1395"/>
        <w:gridCol w:w="1335"/>
        <w:gridCol w:w="1170"/>
        <w:gridCol w:w="1155"/>
      </w:tblGrid>
      <w:tr w:rsidR="00C34118" w14:paraId="250EB7E2" w14:textId="77777777" w:rsidTr="00A01210">
        <w:trPr>
          <w:trHeight w:val="170"/>
          <w:jc w:val="center"/>
        </w:trPr>
        <w:tc>
          <w:tcPr>
            <w:tcW w:w="1005" w:type="dxa"/>
            <w:tcBorders>
              <w:top w:val="single" w:sz="6" w:space="0" w:color="7F7F7F"/>
              <w:left w:val="nil"/>
              <w:bottom w:val="double" w:sz="4" w:space="0" w:color="auto"/>
              <w:right w:val="nil"/>
            </w:tcBorders>
            <w:tcMar>
              <w:top w:w="0" w:type="dxa"/>
              <w:left w:w="100" w:type="dxa"/>
              <w:bottom w:w="0" w:type="dxa"/>
              <w:right w:w="100" w:type="dxa"/>
            </w:tcMar>
            <w:vAlign w:val="center"/>
          </w:tcPr>
          <w:p w14:paraId="470263DD" w14:textId="77777777" w:rsidR="00C34118" w:rsidRDefault="00C34118" w:rsidP="00A01210">
            <w:pPr>
              <w:spacing w:after="0" w:line="276" w:lineRule="auto"/>
              <w:jc w:val="both"/>
              <w:rPr>
                <w:b/>
              </w:rPr>
            </w:pPr>
          </w:p>
        </w:tc>
        <w:tc>
          <w:tcPr>
            <w:tcW w:w="1350" w:type="dxa"/>
            <w:tcBorders>
              <w:top w:val="single" w:sz="6" w:space="0" w:color="7F7F7F"/>
              <w:left w:val="nil"/>
              <w:bottom w:val="double" w:sz="4" w:space="0" w:color="auto"/>
              <w:right w:val="nil"/>
            </w:tcBorders>
            <w:tcMar>
              <w:top w:w="0" w:type="dxa"/>
              <w:left w:w="100" w:type="dxa"/>
              <w:bottom w:w="0" w:type="dxa"/>
              <w:right w:w="100" w:type="dxa"/>
            </w:tcMar>
            <w:vAlign w:val="center"/>
          </w:tcPr>
          <w:p w14:paraId="41BDFE09" w14:textId="77777777" w:rsidR="00C34118" w:rsidRDefault="00C34118" w:rsidP="00A01210">
            <w:pPr>
              <w:spacing w:after="0" w:line="276" w:lineRule="auto"/>
              <w:jc w:val="both"/>
              <w:rPr>
                <w:b/>
              </w:rPr>
            </w:pPr>
            <w:r>
              <w:rPr>
                <w:b/>
              </w:rPr>
              <w:t>Accuracy</w:t>
            </w:r>
          </w:p>
        </w:tc>
        <w:tc>
          <w:tcPr>
            <w:tcW w:w="1395" w:type="dxa"/>
            <w:tcBorders>
              <w:top w:val="single" w:sz="6" w:space="0" w:color="7F7F7F"/>
              <w:left w:val="nil"/>
              <w:bottom w:val="double" w:sz="4" w:space="0" w:color="auto"/>
              <w:right w:val="nil"/>
            </w:tcBorders>
            <w:tcMar>
              <w:top w:w="0" w:type="dxa"/>
              <w:left w:w="100" w:type="dxa"/>
              <w:bottom w:w="0" w:type="dxa"/>
              <w:right w:w="100" w:type="dxa"/>
            </w:tcMar>
            <w:vAlign w:val="center"/>
          </w:tcPr>
          <w:p w14:paraId="30C77690" w14:textId="77777777" w:rsidR="00C34118" w:rsidRDefault="00C34118" w:rsidP="00A01210">
            <w:pPr>
              <w:spacing w:after="0" w:line="276" w:lineRule="auto"/>
              <w:jc w:val="both"/>
              <w:rPr>
                <w:b/>
              </w:rPr>
            </w:pPr>
            <w:r>
              <w:rPr>
                <w:b/>
              </w:rPr>
              <w:t>Sensitivity</w:t>
            </w:r>
          </w:p>
        </w:tc>
        <w:tc>
          <w:tcPr>
            <w:tcW w:w="1335" w:type="dxa"/>
            <w:tcBorders>
              <w:top w:val="single" w:sz="6" w:space="0" w:color="7F7F7F"/>
              <w:left w:val="nil"/>
              <w:bottom w:val="double" w:sz="4" w:space="0" w:color="auto"/>
              <w:right w:val="nil"/>
            </w:tcBorders>
            <w:tcMar>
              <w:top w:w="0" w:type="dxa"/>
              <w:left w:w="100" w:type="dxa"/>
              <w:bottom w:w="0" w:type="dxa"/>
              <w:right w:w="100" w:type="dxa"/>
            </w:tcMar>
            <w:vAlign w:val="center"/>
          </w:tcPr>
          <w:p w14:paraId="6F1C3D3D" w14:textId="77777777" w:rsidR="00C34118" w:rsidRDefault="00C34118" w:rsidP="00A01210">
            <w:pPr>
              <w:spacing w:after="0" w:line="276" w:lineRule="auto"/>
              <w:jc w:val="both"/>
              <w:rPr>
                <w:b/>
              </w:rPr>
            </w:pPr>
            <w:r>
              <w:rPr>
                <w:b/>
              </w:rPr>
              <w:t>Precision</w:t>
            </w:r>
          </w:p>
        </w:tc>
        <w:tc>
          <w:tcPr>
            <w:tcW w:w="1170" w:type="dxa"/>
            <w:tcBorders>
              <w:top w:val="single" w:sz="6" w:space="0" w:color="7F7F7F"/>
              <w:left w:val="nil"/>
              <w:bottom w:val="double" w:sz="4" w:space="0" w:color="auto"/>
              <w:right w:val="nil"/>
            </w:tcBorders>
            <w:tcMar>
              <w:top w:w="0" w:type="dxa"/>
              <w:left w:w="100" w:type="dxa"/>
              <w:bottom w:w="0" w:type="dxa"/>
              <w:right w:w="100" w:type="dxa"/>
            </w:tcMar>
            <w:vAlign w:val="center"/>
          </w:tcPr>
          <w:p w14:paraId="29663F94" w14:textId="77777777" w:rsidR="00C34118" w:rsidRDefault="00C34118" w:rsidP="00A01210">
            <w:pPr>
              <w:spacing w:after="0" w:line="276" w:lineRule="auto"/>
              <w:jc w:val="both"/>
              <w:rPr>
                <w:b/>
              </w:rPr>
            </w:pPr>
            <w:r>
              <w:rPr>
                <w:b/>
              </w:rPr>
              <w:t>MCC</w:t>
            </w:r>
          </w:p>
        </w:tc>
        <w:tc>
          <w:tcPr>
            <w:tcW w:w="1155" w:type="dxa"/>
            <w:tcBorders>
              <w:top w:val="single" w:sz="6" w:space="0" w:color="7F7F7F"/>
              <w:left w:val="nil"/>
              <w:bottom w:val="double" w:sz="4" w:space="0" w:color="auto"/>
              <w:right w:val="nil"/>
            </w:tcBorders>
            <w:tcMar>
              <w:top w:w="0" w:type="dxa"/>
              <w:left w:w="100" w:type="dxa"/>
              <w:bottom w:w="0" w:type="dxa"/>
              <w:right w:w="100" w:type="dxa"/>
            </w:tcMar>
            <w:vAlign w:val="center"/>
          </w:tcPr>
          <w:p w14:paraId="52A1D254" w14:textId="77777777" w:rsidR="00C34118" w:rsidRDefault="00C34118" w:rsidP="00A01210">
            <w:pPr>
              <w:spacing w:after="0" w:line="276" w:lineRule="auto"/>
              <w:jc w:val="both"/>
              <w:rPr>
                <w:b/>
              </w:rPr>
            </w:pPr>
            <w:r>
              <w:rPr>
                <w:b/>
              </w:rPr>
              <w:t>F1 Score</w:t>
            </w:r>
          </w:p>
        </w:tc>
      </w:tr>
      <w:tr w:rsidR="00C34118" w14:paraId="04DFCD71" w14:textId="77777777" w:rsidTr="00A01210">
        <w:trPr>
          <w:trHeight w:val="398"/>
          <w:jc w:val="center"/>
        </w:trPr>
        <w:tc>
          <w:tcPr>
            <w:tcW w:w="1005" w:type="dxa"/>
            <w:tcBorders>
              <w:top w:val="double" w:sz="4" w:space="0" w:color="auto"/>
              <w:left w:val="nil"/>
              <w:bottom w:val="single" w:sz="6" w:space="0" w:color="7F7F7F"/>
              <w:right w:val="nil"/>
            </w:tcBorders>
            <w:tcMar>
              <w:top w:w="0" w:type="dxa"/>
              <w:left w:w="100" w:type="dxa"/>
              <w:bottom w:w="0" w:type="dxa"/>
              <w:right w:w="100" w:type="dxa"/>
            </w:tcMar>
            <w:vAlign w:val="center"/>
          </w:tcPr>
          <w:p w14:paraId="40B12B00" w14:textId="77777777" w:rsidR="00C34118" w:rsidRDefault="00C34118" w:rsidP="00A01210">
            <w:pPr>
              <w:spacing w:after="0" w:line="276" w:lineRule="auto"/>
              <w:jc w:val="both"/>
              <w:rPr>
                <w:b/>
              </w:rPr>
            </w:pPr>
            <w:r>
              <w:rPr>
                <w:b/>
              </w:rPr>
              <w:t>LDA</w:t>
            </w:r>
          </w:p>
        </w:tc>
        <w:tc>
          <w:tcPr>
            <w:tcW w:w="1350" w:type="dxa"/>
            <w:tcBorders>
              <w:top w:val="double" w:sz="4" w:space="0" w:color="auto"/>
              <w:left w:val="nil"/>
              <w:bottom w:val="single" w:sz="6" w:space="0" w:color="7F7F7F"/>
              <w:right w:val="nil"/>
            </w:tcBorders>
            <w:tcMar>
              <w:top w:w="0" w:type="dxa"/>
              <w:left w:w="100" w:type="dxa"/>
              <w:bottom w:w="0" w:type="dxa"/>
              <w:right w:w="100" w:type="dxa"/>
            </w:tcMar>
            <w:vAlign w:val="center"/>
          </w:tcPr>
          <w:p w14:paraId="67CB66EE" w14:textId="77777777" w:rsidR="00C34118" w:rsidRDefault="00C34118" w:rsidP="00A01210">
            <w:pPr>
              <w:spacing w:after="0" w:line="276" w:lineRule="auto"/>
              <w:jc w:val="both"/>
            </w:pPr>
            <w:r>
              <w:t>0.904</w:t>
            </w:r>
          </w:p>
        </w:tc>
        <w:tc>
          <w:tcPr>
            <w:tcW w:w="1395" w:type="dxa"/>
            <w:tcBorders>
              <w:top w:val="double" w:sz="4" w:space="0" w:color="auto"/>
              <w:left w:val="nil"/>
              <w:bottom w:val="single" w:sz="6" w:space="0" w:color="7F7F7F"/>
              <w:right w:val="nil"/>
            </w:tcBorders>
            <w:tcMar>
              <w:top w:w="0" w:type="dxa"/>
              <w:left w:w="100" w:type="dxa"/>
              <w:bottom w:w="0" w:type="dxa"/>
              <w:right w:w="100" w:type="dxa"/>
            </w:tcMar>
            <w:vAlign w:val="center"/>
          </w:tcPr>
          <w:p w14:paraId="0138A0B1" w14:textId="77777777" w:rsidR="00C34118" w:rsidRDefault="00C34118" w:rsidP="00A01210">
            <w:pPr>
              <w:spacing w:after="0" w:line="276" w:lineRule="auto"/>
              <w:jc w:val="both"/>
            </w:pPr>
            <w:r>
              <w:t>0.844</w:t>
            </w:r>
          </w:p>
        </w:tc>
        <w:tc>
          <w:tcPr>
            <w:tcW w:w="1335" w:type="dxa"/>
            <w:tcBorders>
              <w:top w:val="double" w:sz="4" w:space="0" w:color="auto"/>
              <w:left w:val="nil"/>
              <w:bottom w:val="single" w:sz="6" w:space="0" w:color="7F7F7F"/>
              <w:right w:val="nil"/>
            </w:tcBorders>
            <w:tcMar>
              <w:top w:w="0" w:type="dxa"/>
              <w:left w:w="100" w:type="dxa"/>
              <w:bottom w:w="0" w:type="dxa"/>
              <w:right w:w="100" w:type="dxa"/>
            </w:tcMar>
            <w:vAlign w:val="center"/>
          </w:tcPr>
          <w:p w14:paraId="74794CD0" w14:textId="77777777" w:rsidR="00C34118" w:rsidRDefault="00C34118" w:rsidP="00A01210">
            <w:pPr>
              <w:spacing w:after="0" w:line="276" w:lineRule="auto"/>
              <w:jc w:val="both"/>
            </w:pPr>
            <w:r>
              <w:t>0.865</w:t>
            </w:r>
          </w:p>
        </w:tc>
        <w:tc>
          <w:tcPr>
            <w:tcW w:w="1170" w:type="dxa"/>
            <w:tcBorders>
              <w:top w:val="double" w:sz="4" w:space="0" w:color="auto"/>
              <w:left w:val="nil"/>
              <w:bottom w:val="single" w:sz="6" w:space="0" w:color="7F7F7F"/>
              <w:right w:val="nil"/>
            </w:tcBorders>
            <w:tcMar>
              <w:top w:w="0" w:type="dxa"/>
              <w:left w:w="100" w:type="dxa"/>
              <w:bottom w:w="0" w:type="dxa"/>
              <w:right w:w="100" w:type="dxa"/>
            </w:tcMar>
            <w:vAlign w:val="center"/>
          </w:tcPr>
          <w:p w14:paraId="6C84AF56" w14:textId="77777777" w:rsidR="00C34118" w:rsidRDefault="00C34118" w:rsidP="00A01210">
            <w:pPr>
              <w:spacing w:after="0" w:line="276" w:lineRule="auto"/>
              <w:jc w:val="both"/>
            </w:pPr>
            <w:r>
              <w:t>0.783</w:t>
            </w:r>
          </w:p>
        </w:tc>
        <w:tc>
          <w:tcPr>
            <w:tcW w:w="1155" w:type="dxa"/>
            <w:tcBorders>
              <w:top w:val="double" w:sz="4" w:space="0" w:color="auto"/>
              <w:left w:val="nil"/>
              <w:bottom w:val="single" w:sz="6" w:space="0" w:color="7F7F7F"/>
              <w:right w:val="nil"/>
            </w:tcBorders>
            <w:tcMar>
              <w:top w:w="0" w:type="dxa"/>
              <w:left w:w="100" w:type="dxa"/>
              <w:bottom w:w="0" w:type="dxa"/>
              <w:right w:w="100" w:type="dxa"/>
            </w:tcMar>
            <w:vAlign w:val="center"/>
          </w:tcPr>
          <w:p w14:paraId="394771A6" w14:textId="77777777" w:rsidR="00C34118" w:rsidRDefault="00C34118" w:rsidP="00A01210">
            <w:pPr>
              <w:spacing w:after="0" w:line="276" w:lineRule="auto"/>
              <w:jc w:val="both"/>
            </w:pPr>
            <w:r>
              <w:t>0.842</w:t>
            </w:r>
          </w:p>
        </w:tc>
      </w:tr>
      <w:tr w:rsidR="00C34118" w14:paraId="6F64ABFB" w14:textId="77777777" w:rsidTr="00A01210">
        <w:trPr>
          <w:trHeight w:val="141"/>
          <w:jc w:val="center"/>
        </w:trPr>
        <w:tc>
          <w:tcPr>
            <w:tcW w:w="1005" w:type="dxa"/>
            <w:tcBorders>
              <w:top w:val="nil"/>
              <w:left w:val="nil"/>
              <w:bottom w:val="single" w:sz="4" w:space="0" w:color="auto"/>
              <w:right w:val="nil"/>
            </w:tcBorders>
            <w:tcMar>
              <w:top w:w="0" w:type="dxa"/>
              <w:left w:w="100" w:type="dxa"/>
              <w:bottom w:w="0" w:type="dxa"/>
              <w:right w:w="100" w:type="dxa"/>
            </w:tcMar>
            <w:vAlign w:val="center"/>
          </w:tcPr>
          <w:p w14:paraId="18D91D41" w14:textId="77777777" w:rsidR="00C34118" w:rsidRDefault="00C34118" w:rsidP="00A01210">
            <w:pPr>
              <w:spacing w:after="0" w:line="276" w:lineRule="auto"/>
              <w:jc w:val="both"/>
              <w:rPr>
                <w:b/>
              </w:rPr>
            </w:pPr>
            <w:r>
              <w:rPr>
                <w:b/>
              </w:rPr>
              <w:t>RDA</w:t>
            </w:r>
          </w:p>
        </w:tc>
        <w:tc>
          <w:tcPr>
            <w:tcW w:w="1350" w:type="dxa"/>
            <w:tcBorders>
              <w:top w:val="nil"/>
              <w:left w:val="nil"/>
              <w:bottom w:val="single" w:sz="4" w:space="0" w:color="auto"/>
              <w:right w:val="nil"/>
            </w:tcBorders>
            <w:tcMar>
              <w:top w:w="0" w:type="dxa"/>
              <w:left w:w="100" w:type="dxa"/>
              <w:bottom w:w="0" w:type="dxa"/>
              <w:right w:w="100" w:type="dxa"/>
            </w:tcMar>
            <w:vAlign w:val="center"/>
          </w:tcPr>
          <w:p w14:paraId="5C43F8BD" w14:textId="77777777" w:rsidR="00C34118" w:rsidRDefault="00C34118" w:rsidP="00A01210">
            <w:pPr>
              <w:spacing w:after="0" w:line="276" w:lineRule="auto"/>
              <w:jc w:val="both"/>
            </w:pPr>
            <w:r>
              <w:t>0.877</w:t>
            </w:r>
          </w:p>
        </w:tc>
        <w:tc>
          <w:tcPr>
            <w:tcW w:w="1395" w:type="dxa"/>
            <w:tcBorders>
              <w:top w:val="nil"/>
              <w:left w:val="nil"/>
              <w:bottom w:val="single" w:sz="4" w:space="0" w:color="auto"/>
              <w:right w:val="nil"/>
            </w:tcBorders>
            <w:tcMar>
              <w:top w:w="0" w:type="dxa"/>
              <w:left w:w="100" w:type="dxa"/>
              <w:bottom w:w="0" w:type="dxa"/>
              <w:right w:w="100" w:type="dxa"/>
            </w:tcMar>
            <w:vAlign w:val="center"/>
          </w:tcPr>
          <w:p w14:paraId="36AA585B" w14:textId="77777777" w:rsidR="00C34118" w:rsidRDefault="00C34118" w:rsidP="00A01210">
            <w:pPr>
              <w:spacing w:after="0" w:line="276" w:lineRule="auto"/>
              <w:jc w:val="both"/>
            </w:pPr>
            <w:r>
              <w:t>0.850</w:t>
            </w:r>
          </w:p>
        </w:tc>
        <w:tc>
          <w:tcPr>
            <w:tcW w:w="1335" w:type="dxa"/>
            <w:tcBorders>
              <w:top w:val="nil"/>
              <w:left w:val="nil"/>
              <w:bottom w:val="single" w:sz="4" w:space="0" w:color="auto"/>
              <w:right w:val="nil"/>
            </w:tcBorders>
            <w:tcMar>
              <w:top w:w="0" w:type="dxa"/>
              <w:left w:w="100" w:type="dxa"/>
              <w:bottom w:w="0" w:type="dxa"/>
              <w:right w:w="100" w:type="dxa"/>
            </w:tcMar>
            <w:vAlign w:val="center"/>
          </w:tcPr>
          <w:p w14:paraId="400C71E7" w14:textId="77777777" w:rsidR="00C34118" w:rsidRDefault="00C34118" w:rsidP="00A01210">
            <w:pPr>
              <w:spacing w:after="0" w:line="276" w:lineRule="auto"/>
              <w:jc w:val="both"/>
            </w:pPr>
            <w:r>
              <w:t>0.796</w:t>
            </w:r>
          </w:p>
        </w:tc>
        <w:tc>
          <w:tcPr>
            <w:tcW w:w="1170" w:type="dxa"/>
            <w:tcBorders>
              <w:top w:val="nil"/>
              <w:left w:val="nil"/>
              <w:bottom w:val="single" w:sz="4" w:space="0" w:color="auto"/>
              <w:right w:val="nil"/>
            </w:tcBorders>
            <w:tcMar>
              <w:top w:w="0" w:type="dxa"/>
              <w:left w:w="100" w:type="dxa"/>
              <w:bottom w:w="0" w:type="dxa"/>
              <w:right w:w="100" w:type="dxa"/>
            </w:tcMar>
            <w:vAlign w:val="center"/>
          </w:tcPr>
          <w:p w14:paraId="387A7266" w14:textId="77777777" w:rsidR="00C34118" w:rsidRDefault="00C34118" w:rsidP="00A01210">
            <w:pPr>
              <w:spacing w:after="0" w:line="276" w:lineRule="auto"/>
              <w:jc w:val="both"/>
            </w:pPr>
            <w:r>
              <w:t>0.730</w:t>
            </w:r>
          </w:p>
        </w:tc>
        <w:tc>
          <w:tcPr>
            <w:tcW w:w="1155" w:type="dxa"/>
            <w:tcBorders>
              <w:top w:val="nil"/>
              <w:left w:val="nil"/>
              <w:bottom w:val="single" w:sz="4" w:space="0" w:color="auto"/>
              <w:right w:val="nil"/>
            </w:tcBorders>
            <w:tcMar>
              <w:top w:w="0" w:type="dxa"/>
              <w:left w:w="100" w:type="dxa"/>
              <w:bottom w:w="0" w:type="dxa"/>
              <w:right w:w="100" w:type="dxa"/>
            </w:tcMar>
            <w:vAlign w:val="center"/>
          </w:tcPr>
          <w:p w14:paraId="4C8397D5" w14:textId="77777777" w:rsidR="00C34118" w:rsidRDefault="00C34118" w:rsidP="00A01210">
            <w:pPr>
              <w:spacing w:after="0" w:line="276" w:lineRule="auto"/>
              <w:jc w:val="both"/>
            </w:pPr>
            <w:r>
              <w:t>0.808</w:t>
            </w:r>
          </w:p>
        </w:tc>
      </w:tr>
      <w:tr w:rsidR="00C34118" w14:paraId="6FA5E9E8" w14:textId="77777777" w:rsidTr="00A01210">
        <w:trPr>
          <w:trHeight w:val="141"/>
          <w:jc w:val="center"/>
        </w:trPr>
        <w:tc>
          <w:tcPr>
            <w:tcW w:w="1005" w:type="dxa"/>
            <w:tcBorders>
              <w:top w:val="single" w:sz="4" w:space="0" w:color="auto"/>
              <w:left w:val="nil"/>
              <w:bottom w:val="single" w:sz="4" w:space="0" w:color="auto"/>
              <w:right w:val="nil"/>
            </w:tcBorders>
            <w:tcMar>
              <w:top w:w="0" w:type="dxa"/>
              <w:left w:w="100" w:type="dxa"/>
              <w:bottom w:w="0" w:type="dxa"/>
              <w:right w:w="100" w:type="dxa"/>
            </w:tcMar>
            <w:vAlign w:val="center"/>
          </w:tcPr>
          <w:p w14:paraId="0426A1B7" w14:textId="77777777" w:rsidR="00C34118" w:rsidRDefault="00C34118" w:rsidP="00A01210">
            <w:pPr>
              <w:spacing w:after="0" w:line="276" w:lineRule="auto"/>
              <w:jc w:val="both"/>
              <w:rPr>
                <w:b/>
              </w:rPr>
            </w:pPr>
            <w:r>
              <w:rPr>
                <w:b/>
              </w:rPr>
              <w:t>Boosting</w:t>
            </w:r>
          </w:p>
        </w:tc>
        <w:tc>
          <w:tcPr>
            <w:tcW w:w="1350" w:type="dxa"/>
            <w:tcBorders>
              <w:top w:val="single" w:sz="4" w:space="0" w:color="auto"/>
              <w:left w:val="nil"/>
              <w:bottom w:val="single" w:sz="4" w:space="0" w:color="auto"/>
              <w:right w:val="nil"/>
            </w:tcBorders>
            <w:tcMar>
              <w:top w:w="0" w:type="dxa"/>
              <w:left w:w="100" w:type="dxa"/>
              <w:bottom w:w="0" w:type="dxa"/>
              <w:right w:w="100" w:type="dxa"/>
            </w:tcMar>
            <w:vAlign w:val="center"/>
          </w:tcPr>
          <w:p w14:paraId="5916A1C0" w14:textId="77777777" w:rsidR="00C34118" w:rsidRDefault="00C34118" w:rsidP="00A01210">
            <w:pPr>
              <w:spacing w:after="0" w:line="276" w:lineRule="auto"/>
              <w:jc w:val="both"/>
            </w:pPr>
            <w:r>
              <w:t>0.804</w:t>
            </w:r>
          </w:p>
        </w:tc>
        <w:tc>
          <w:tcPr>
            <w:tcW w:w="1395" w:type="dxa"/>
            <w:tcBorders>
              <w:top w:val="single" w:sz="4" w:space="0" w:color="auto"/>
              <w:left w:val="nil"/>
              <w:bottom w:val="single" w:sz="4" w:space="0" w:color="auto"/>
              <w:right w:val="nil"/>
            </w:tcBorders>
            <w:tcMar>
              <w:top w:w="0" w:type="dxa"/>
              <w:left w:w="100" w:type="dxa"/>
              <w:bottom w:w="0" w:type="dxa"/>
              <w:right w:w="100" w:type="dxa"/>
            </w:tcMar>
            <w:vAlign w:val="center"/>
          </w:tcPr>
          <w:p w14:paraId="54482C66" w14:textId="77777777" w:rsidR="00C34118" w:rsidRDefault="00C34118" w:rsidP="00A01210">
            <w:pPr>
              <w:spacing w:after="0" w:line="276" w:lineRule="auto"/>
              <w:jc w:val="both"/>
            </w:pPr>
            <w:r>
              <w:t>0.708</w:t>
            </w:r>
          </w:p>
        </w:tc>
        <w:tc>
          <w:tcPr>
            <w:tcW w:w="1335" w:type="dxa"/>
            <w:tcBorders>
              <w:top w:val="single" w:sz="4" w:space="0" w:color="auto"/>
              <w:left w:val="nil"/>
              <w:bottom w:val="single" w:sz="4" w:space="0" w:color="auto"/>
              <w:right w:val="nil"/>
            </w:tcBorders>
            <w:tcMar>
              <w:top w:w="0" w:type="dxa"/>
              <w:left w:w="100" w:type="dxa"/>
              <w:bottom w:w="0" w:type="dxa"/>
              <w:right w:w="100" w:type="dxa"/>
            </w:tcMar>
            <w:vAlign w:val="center"/>
          </w:tcPr>
          <w:p w14:paraId="6FDC233D" w14:textId="77777777" w:rsidR="00C34118" w:rsidRDefault="00C34118" w:rsidP="00A01210">
            <w:pPr>
              <w:spacing w:after="0" w:line="276" w:lineRule="auto"/>
              <w:jc w:val="both"/>
            </w:pPr>
            <w:r>
              <w:t>0.716</w:t>
            </w:r>
          </w:p>
        </w:tc>
        <w:tc>
          <w:tcPr>
            <w:tcW w:w="1170" w:type="dxa"/>
            <w:tcBorders>
              <w:top w:val="single" w:sz="4" w:space="0" w:color="auto"/>
              <w:left w:val="nil"/>
              <w:bottom w:val="single" w:sz="4" w:space="0" w:color="auto"/>
              <w:right w:val="nil"/>
            </w:tcBorders>
            <w:tcMar>
              <w:top w:w="0" w:type="dxa"/>
              <w:left w:w="100" w:type="dxa"/>
              <w:bottom w:w="0" w:type="dxa"/>
              <w:right w:w="100" w:type="dxa"/>
            </w:tcMar>
            <w:vAlign w:val="center"/>
          </w:tcPr>
          <w:p w14:paraId="6B40C15C" w14:textId="77777777" w:rsidR="00C34118" w:rsidRDefault="00C34118" w:rsidP="00A01210">
            <w:pPr>
              <w:spacing w:after="0" w:line="276" w:lineRule="auto"/>
              <w:jc w:val="both"/>
            </w:pPr>
            <w:r>
              <w:t>0.566</w:t>
            </w:r>
          </w:p>
        </w:tc>
        <w:tc>
          <w:tcPr>
            <w:tcW w:w="1155" w:type="dxa"/>
            <w:tcBorders>
              <w:top w:val="single" w:sz="4" w:space="0" w:color="auto"/>
              <w:left w:val="nil"/>
              <w:bottom w:val="single" w:sz="4" w:space="0" w:color="auto"/>
              <w:right w:val="nil"/>
            </w:tcBorders>
            <w:tcMar>
              <w:top w:w="0" w:type="dxa"/>
              <w:left w:w="100" w:type="dxa"/>
              <w:bottom w:w="0" w:type="dxa"/>
              <w:right w:w="100" w:type="dxa"/>
            </w:tcMar>
            <w:vAlign w:val="center"/>
          </w:tcPr>
          <w:p w14:paraId="2E46DD56" w14:textId="77777777" w:rsidR="00C34118" w:rsidRDefault="00C34118" w:rsidP="00A01210">
            <w:pPr>
              <w:spacing w:after="0" w:line="276" w:lineRule="auto"/>
              <w:jc w:val="both"/>
            </w:pPr>
            <w:r>
              <w:t>0.688</w:t>
            </w:r>
          </w:p>
        </w:tc>
      </w:tr>
      <w:tr w:rsidR="00C34118" w14:paraId="77B5B2DA" w14:textId="77777777" w:rsidTr="00A01210">
        <w:trPr>
          <w:trHeight w:val="141"/>
          <w:jc w:val="center"/>
        </w:trPr>
        <w:tc>
          <w:tcPr>
            <w:tcW w:w="1005" w:type="dxa"/>
            <w:tcBorders>
              <w:top w:val="single" w:sz="4" w:space="0" w:color="auto"/>
              <w:left w:val="nil"/>
              <w:bottom w:val="single" w:sz="4" w:space="0" w:color="auto"/>
              <w:right w:val="nil"/>
            </w:tcBorders>
            <w:tcMar>
              <w:top w:w="0" w:type="dxa"/>
              <w:left w:w="100" w:type="dxa"/>
              <w:bottom w:w="0" w:type="dxa"/>
              <w:right w:w="100" w:type="dxa"/>
            </w:tcMar>
            <w:vAlign w:val="center"/>
          </w:tcPr>
          <w:p w14:paraId="4B0B55ED" w14:textId="77777777" w:rsidR="00C34118" w:rsidRDefault="00C34118" w:rsidP="00A01210">
            <w:pPr>
              <w:spacing w:after="0" w:line="276" w:lineRule="auto"/>
              <w:jc w:val="both"/>
              <w:rPr>
                <w:b/>
              </w:rPr>
            </w:pPr>
            <w:r>
              <w:rPr>
                <w:b/>
              </w:rPr>
              <w:t>RF</w:t>
            </w:r>
          </w:p>
        </w:tc>
        <w:tc>
          <w:tcPr>
            <w:tcW w:w="1350" w:type="dxa"/>
            <w:tcBorders>
              <w:top w:val="single" w:sz="4" w:space="0" w:color="auto"/>
              <w:left w:val="nil"/>
              <w:bottom w:val="single" w:sz="4" w:space="0" w:color="auto"/>
              <w:right w:val="nil"/>
            </w:tcBorders>
            <w:tcMar>
              <w:top w:w="0" w:type="dxa"/>
              <w:left w:w="100" w:type="dxa"/>
              <w:bottom w:w="0" w:type="dxa"/>
              <w:right w:w="100" w:type="dxa"/>
            </w:tcMar>
            <w:vAlign w:val="center"/>
          </w:tcPr>
          <w:p w14:paraId="0CEC4DA0" w14:textId="77777777" w:rsidR="00C34118" w:rsidRDefault="00C34118" w:rsidP="00A01210">
            <w:pPr>
              <w:spacing w:after="0" w:line="276" w:lineRule="auto"/>
              <w:jc w:val="both"/>
            </w:pPr>
            <w:r>
              <w:t>0.833</w:t>
            </w:r>
          </w:p>
        </w:tc>
        <w:tc>
          <w:tcPr>
            <w:tcW w:w="1395" w:type="dxa"/>
            <w:tcBorders>
              <w:top w:val="single" w:sz="4" w:space="0" w:color="auto"/>
              <w:left w:val="nil"/>
              <w:bottom w:val="single" w:sz="4" w:space="0" w:color="auto"/>
              <w:right w:val="nil"/>
            </w:tcBorders>
            <w:tcMar>
              <w:top w:w="0" w:type="dxa"/>
              <w:left w:w="100" w:type="dxa"/>
              <w:bottom w:w="0" w:type="dxa"/>
              <w:right w:w="100" w:type="dxa"/>
            </w:tcMar>
            <w:vAlign w:val="center"/>
          </w:tcPr>
          <w:p w14:paraId="606AB583" w14:textId="77777777" w:rsidR="00C34118" w:rsidRDefault="00C34118" w:rsidP="00A01210">
            <w:pPr>
              <w:spacing w:after="0" w:line="276" w:lineRule="auto"/>
              <w:jc w:val="both"/>
            </w:pPr>
            <w:r>
              <w:t>0.726</w:t>
            </w:r>
          </w:p>
        </w:tc>
        <w:tc>
          <w:tcPr>
            <w:tcW w:w="1335" w:type="dxa"/>
            <w:tcBorders>
              <w:top w:val="single" w:sz="4" w:space="0" w:color="auto"/>
              <w:left w:val="nil"/>
              <w:bottom w:val="single" w:sz="4" w:space="0" w:color="auto"/>
              <w:right w:val="nil"/>
            </w:tcBorders>
            <w:tcMar>
              <w:top w:w="0" w:type="dxa"/>
              <w:left w:w="100" w:type="dxa"/>
              <w:bottom w:w="0" w:type="dxa"/>
              <w:right w:w="100" w:type="dxa"/>
            </w:tcMar>
            <w:vAlign w:val="center"/>
          </w:tcPr>
          <w:p w14:paraId="78C239E1" w14:textId="77777777" w:rsidR="00C34118" w:rsidRDefault="00C34118" w:rsidP="00A01210">
            <w:pPr>
              <w:spacing w:after="0" w:line="276" w:lineRule="auto"/>
              <w:jc w:val="both"/>
            </w:pPr>
            <w:r>
              <w:t>0.764</w:t>
            </w:r>
          </w:p>
        </w:tc>
        <w:tc>
          <w:tcPr>
            <w:tcW w:w="1170" w:type="dxa"/>
            <w:tcBorders>
              <w:top w:val="single" w:sz="4" w:space="0" w:color="auto"/>
              <w:left w:val="nil"/>
              <w:bottom w:val="single" w:sz="4" w:space="0" w:color="auto"/>
              <w:right w:val="nil"/>
            </w:tcBorders>
            <w:tcMar>
              <w:top w:w="0" w:type="dxa"/>
              <w:left w:w="100" w:type="dxa"/>
              <w:bottom w:w="0" w:type="dxa"/>
              <w:right w:w="100" w:type="dxa"/>
            </w:tcMar>
            <w:vAlign w:val="center"/>
          </w:tcPr>
          <w:p w14:paraId="4E335E08" w14:textId="77777777" w:rsidR="00C34118" w:rsidRDefault="00C34118" w:rsidP="00A01210">
            <w:pPr>
              <w:spacing w:after="0" w:line="276" w:lineRule="auto"/>
              <w:jc w:val="both"/>
            </w:pPr>
            <w:r>
              <w:t>0.620</w:t>
            </w:r>
          </w:p>
        </w:tc>
        <w:tc>
          <w:tcPr>
            <w:tcW w:w="1155" w:type="dxa"/>
            <w:tcBorders>
              <w:top w:val="single" w:sz="4" w:space="0" w:color="auto"/>
              <w:left w:val="nil"/>
              <w:bottom w:val="single" w:sz="4" w:space="0" w:color="auto"/>
              <w:right w:val="nil"/>
            </w:tcBorders>
            <w:tcMar>
              <w:top w:w="0" w:type="dxa"/>
              <w:left w:w="100" w:type="dxa"/>
              <w:bottom w:w="0" w:type="dxa"/>
              <w:right w:w="100" w:type="dxa"/>
            </w:tcMar>
            <w:vAlign w:val="center"/>
          </w:tcPr>
          <w:p w14:paraId="23AB24F6" w14:textId="77777777" w:rsidR="00C34118" w:rsidRDefault="00C34118" w:rsidP="00A01210">
            <w:pPr>
              <w:spacing w:after="0" w:line="276" w:lineRule="auto"/>
              <w:jc w:val="both"/>
            </w:pPr>
            <w:r>
              <w:t>0.725</w:t>
            </w:r>
          </w:p>
        </w:tc>
      </w:tr>
      <w:tr w:rsidR="00C34118" w14:paraId="48D8386A" w14:textId="77777777" w:rsidTr="00A01210">
        <w:trPr>
          <w:trHeight w:val="141"/>
          <w:jc w:val="center"/>
        </w:trPr>
        <w:tc>
          <w:tcPr>
            <w:tcW w:w="1005" w:type="dxa"/>
            <w:tcBorders>
              <w:top w:val="single" w:sz="4" w:space="0" w:color="auto"/>
              <w:left w:val="nil"/>
              <w:bottom w:val="double" w:sz="4" w:space="0" w:color="auto"/>
              <w:right w:val="nil"/>
            </w:tcBorders>
            <w:tcMar>
              <w:top w:w="0" w:type="dxa"/>
              <w:left w:w="100" w:type="dxa"/>
              <w:bottom w:w="0" w:type="dxa"/>
              <w:right w:w="100" w:type="dxa"/>
            </w:tcMar>
            <w:vAlign w:val="center"/>
          </w:tcPr>
          <w:p w14:paraId="109B4BF6" w14:textId="77777777" w:rsidR="00C34118" w:rsidRDefault="00C34118" w:rsidP="00A01210">
            <w:pPr>
              <w:spacing w:after="0" w:line="276" w:lineRule="auto"/>
              <w:jc w:val="both"/>
              <w:rPr>
                <w:b/>
              </w:rPr>
            </w:pPr>
            <w:r>
              <w:rPr>
                <w:b/>
              </w:rPr>
              <w:t>SVM</w:t>
            </w:r>
          </w:p>
        </w:tc>
        <w:tc>
          <w:tcPr>
            <w:tcW w:w="1350" w:type="dxa"/>
            <w:tcBorders>
              <w:top w:val="single" w:sz="4" w:space="0" w:color="auto"/>
              <w:left w:val="nil"/>
              <w:bottom w:val="double" w:sz="4" w:space="0" w:color="auto"/>
              <w:right w:val="nil"/>
            </w:tcBorders>
            <w:tcMar>
              <w:top w:w="0" w:type="dxa"/>
              <w:left w:w="100" w:type="dxa"/>
              <w:bottom w:w="0" w:type="dxa"/>
              <w:right w:w="100" w:type="dxa"/>
            </w:tcMar>
            <w:vAlign w:val="center"/>
          </w:tcPr>
          <w:p w14:paraId="30BDCC19" w14:textId="77777777" w:rsidR="00C34118" w:rsidRDefault="00C34118" w:rsidP="00A01210">
            <w:pPr>
              <w:spacing w:after="0" w:line="276" w:lineRule="auto"/>
              <w:jc w:val="both"/>
            </w:pPr>
            <w:r>
              <w:t>0.870</w:t>
            </w:r>
          </w:p>
        </w:tc>
        <w:tc>
          <w:tcPr>
            <w:tcW w:w="1395" w:type="dxa"/>
            <w:tcBorders>
              <w:top w:val="single" w:sz="4" w:space="0" w:color="auto"/>
              <w:left w:val="nil"/>
              <w:bottom w:val="double" w:sz="4" w:space="0" w:color="auto"/>
              <w:right w:val="nil"/>
            </w:tcBorders>
            <w:tcMar>
              <w:top w:w="0" w:type="dxa"/>
              <w:left w:w="100" w:type="dxa"/>
              <w:bottom w:w="0" w:type="dxa"/>
              <w:right w:w="100" w:type="dxa"/>
            </w:tcMar>
            <w:vAlign w:val="center"/>
          </w:tcPr>
          <w:p w14:paraId="7C4BA99B" w14:textId="77777777" w:rsidR="00C34118" w:rsidRDefault="00C34118" w:rsidP="00A01210">
            <w:pPr>
              <w:spacing w:after="0" w:line="276" w:lineRule="auto"/>
              <w:jc w:val="both"/>
            </w:pPr>
            <w:r>
              <w:t>0.826</w:t>
            </w:r>
          </w:p>
        </w:tc>
        <w:tc>
          <w:tcPr>
            <w:tcW w:w="1335" w:type="dxa"/>
            <w:tcBorders>
              <w:top w:val="single" w:sz="4" w:space="0" w:color="auto"/>
              <w:left w:val="nil"/>
              <w:bottom w:val="double" w:sz="4" w:space="0" w:color="auto"/>
              <w:right w:val="nil"/>
            </w:tcBorders>
            <w:tcMar>
              <w:top w:w="0" w:type="dxa"/>
              <w:left w:w="100" w:type="dxa"/>
              <w:bottom w:w="0" w:type="dxa"/>
              <w:right w:w="100" w:type="dxa"/>
            </w:tcMar>
            <w:vAlign w:val="center"/>
          </w:tcPr>
          <w:p w14:paraId="7DB686EE" w14:textId="77777777" w:rsidR="00C34118" w:rsidRDefault="00C34118" w:rsidP="00A01210">
            <w:pPr>
              <w:spacing w:after="0" w:line="276" w:lineRule="auto"/>
              <w:jc w:val="both"/>
            </w:pPr>
            <w:r>
              <w:t>0.785</w:t>
            </w:r>
          </w:p>
        </w:tc>
        <w:tc>
          <w:tcPr>
            <w:tcW w:w="1170" w:type="dxa"/>
            <w:tcBorders>
              <w:top w:val="single" w:sz="4" w:space="0" w:color="auto"/>
              <w:left w:val="nil"/>
              <w:bottom w:val="double" w:sz="4" w:space="0" w:color="auto"/>
              <w:right w:val="nil"/>
            </w:tcBorders>
            <w:tcMar>
              <w:top w:w="0" w:type="dxa"/>
              <w:left w:w="100" w:type="dxa"/>
              <w:bottom w:w="0" w:type="dxa"/>
              <w:right w:w="100" w:type="dxa"/>
            </w:tcMar>
            <w:vAlign w:val="center"/>
          </w:tcPr>
          <w:p w14:paraId="5E6360C1" w14:textId="77777777" w:rsidR="00C34118" w:rsidRDefault="00C34118" w:rsidP="00A01210">
            <w:pPr>
              <w:spacing w:after="0" w:line="276" w:lineRule="auto"/>
              <w:jc w:val="both"/>
            </w:pPr>
            <w:r>
              <w:t>0.706</w:t>
            </w:r>
          </w:p>
        </w:tc>
        <w:tc>
          <w:tcPr>
            <w:tcW w:w="1155" w:type="dxa"/>
            <w:tcBorders>
              <w:top w:val="single" w:sz="4" w:space="0" w:color="auto"/>
              <w:left w:val="nil"/>
              <w:bottom w:val="double" w:sz="4" w:space="0" w:color="auto"/>
              <w:right w:val="nil"/>
            </w:tcBorders>
            <w:tcMar>
              <w:top w:w="0" w:type="dxa"/>
              <w:left w:w="100" w:type="dxa"/>
              <w:bottom w:w="0" w:type="dxa"/>
              <w:right w:w="100" w:type="dxa"/>
            </w:tcMar>
            <w:vAlign w:val="center"/>
          </w:tcPr>
          <w:p w14:paraId="2583B58A" w14:textId="77777777" w:rsidR="00C34118" w:rsidRDefault="00C34118" w:rsidP="00A01210">
            <w:pPr>
              <w:spacing w:after="0" w:line="276" w:lineRule="auto"/>
              <w:jc w:val="both"/>
            </w:pPr>
            <w:r>
              <w:t>0.792</w:t>
            </w:r>
          </w:p>
        </w:tc>
      </w:tr>
    </w:tbl>
    <w:p w14:paraId="37589F85" w14:textId="77777777" w:rsidR="00C34118" w:rsidRDefault="00C34118" w:rsidP="00C350E4">
      <w:pPr>
        <w:jc w:val="both"/>
      </w:pPr>
    </w:p>
    <w:p w14:paraId="5E3A62A9" w14:textId="2FAF360A" w:rsidR="00C34118" w:rsidRPr="00C34118" w:rsidRDefault="00D0398D" w:rsidP="00C350E4">
      <w:pPr>
        <w:jc w:val="both"/>
        <w:rPr>
          <w:b/>
          <w:bCs/>
          <w:sz w:val="28"/>
          <w:szCs w:val="28"/>
        </w:rPr>
      </w:pPr>
      <w:r>
        <w:rPr>
          <w:b/>
          <w:bCs/>
          <w:sz w:val="28"/>
          <w:szCs w:val="28"/>
        </w:rPr>
        <w:t>References</w:t>
      </w:r>
    </w:p>
    <w:p w14:paraId="54971A9B" w14:textId="77777777" w:rsidR="00C34118" w:rsidRPr="00C34118" w:rsidRDefault="00C34118" w:rsidP="00C34118">
      <w:pPr>
        <w:pStyle w:val="Bibliography"/>
        <w:spacing w:after="0"/>
      </w:pPr>
      <w:r>
        <w:fldChar w:fldCharType="begin"/>
      </w:r>
      <w:r>
        <w:instrText xml:space="preserve"> ADDIN ZOTERO_BIBL {"uncited":[],"omitted":[],"custom":[]} CSL_BIBLIOGRAPHY </w:instrText>
      </w:r>
      <w:r>
        <w:fldChar w:fldCharType="separate"/>
      </w:r>
      <w:r w:rsidRPr="00C34118">
        <w:t>1.</w:t>
      </w:r>
      <w:r w:rsidRPr="00C34118">
        <w:tab/>
        <w:t xml:space="preserve">Haralick, R. M., Shanmugam, K. &amp; Dinstein, I. Textural Features for Image Classification. </w:t>
      </w:r>
      <w:r w:rsidRPr="00C34118">
        <w:rPr>
          <w:i/>
          <w:iCs/>
        </w:rPr>
        <w:t>IEEE Trans. Syst., Man, Cybern.</w:t>
      </w:r>
      <w:r w:rsidRPr="00C34118">
        <w:t xml:space="preserve"> </w:t>
      </w:r>
      <w:r w:rsidRPr="00C34118">
        <w:rPr>
          <w:b/>
          <w:bCs/>
        </w:rPr>
        <w:t>SMC-3</w:t>
      </w:r>
      <w:r w:rsidRPr="00C34118">
        <w:t>, 610–621 (1973).</w:t>
      </w:r>
    </w:p>
    <w:p w14:paraId="43E47E5B" w14:textId="77777777" w:rsidR="00C34118" w:rsidRPr="00C34118" w:rsidRDefault="00C34118" w:rsidP="00C34118">
      <w:pPr>
        <w:pStyle w:val="Bibliography"/>
        <w:spacing w:after="0"/>
      </w:pPr>
      <w:r w:rsidRPr="00C34118">
        <w:t>2.</w:t>
      </w:r>
      <w:r w:rsidRPr="00C34118">
        <w:tab/>
        <w:t xml:space="preserve">Liaw, A. &amp; Wiener, M. Classification and Regression by RandomForest. </w:t>
      </w:r>
      <w:r w:rsidRPr="00C34118">
        <w:rPr>
          <w:i/>
          <w:iCs/>
        </w:rPr>
        <w:t>Forest</w:t>
      </w:r>
      <w:r w:rsidRPr="00C34118">
        <w:t xml:space="preserve"> </w:t>
      </w:r>
      <w:r w:rsidRPr="00C34118">
        <w:rPr>
          <w:b/>
          <w:bCs/>
        </w:rPr>
        <w:t>23</w:t>
      </w:r>
      <w:r w:rsidRPr="00C34118">
        <w:t>, (2001).</w:t>
      </w:r>
    </w:p>
    <w:p w14:paraId="7B8BC78D" w14:textId="34C2F541" w:rsidR="00C350E4" w:rsidRDefault="00C34118">
      <w:pPr>
        <w:jc w:val="both"/>
      </w:pPr>
      <w:r>
        <w:fldChar w:fldCharType="end"/>
      </w:r>
    </w:p>
    <w:p w14:paraId="6E9EBF5E" w14:textId="77777777" w:rsidR="00C350E4" w:rsidRDefault="00C350E4">
      <w:pPr>
        <w:jc w:val="both"/>
      </w:pPr>
    </w:p>
    <w:sectPr w:rsidR="00C350E4">
      <w:footerReference w:type="default" r:id="rId9"/>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626CD1" w14:textId="77777777" w:rsidR="00300953" w:rsidRDefault="00300953">
      <w:pPr>
        <w:spacing w:after="0" w:line="240" w:lineRule="auto"/>
      </w:pPr>
      <w:r>
        <w:separator/>
      </w:r>
    </w:p>
  </w:endnote>
  <w:endnote w:type="continuationSeparator" w:id="0">
    <w:p w14:paraId="65CBA52F" w14:textId="77777777" w:rsidR="00300953" w:rsidRDefault="00300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30D5F" w14:textId="481A47C0" w:rsidR="007479A4" w:rsidRDefault="00DB7648">
    <w:pPr>
      <w:pBdr>
        <w:top w:val="nil"/>
        <w:left w:val="nil"/>
        <w:bottom w:val="nil"/>
        <w:right w:val="nil"/>
        <w:between w:val="nil"/>
      </w:pBdr>
      <w:tabs>
        <w:tab w:val="center" w:pos="4986"/>
        <w:tab w:val="right" w:pos="9972"/>
      </w:tabs>
      <w:spacing w:after="0" w:line="240" w:lineRule="auto"/>
      <w:jc w:val="right"/>
      <w:rPr>
        <w:color w:val="000000"/>
      </w:rPr>
    </w:pPr>
    <w:r>
      <w:rPr>
        <w:color w:val="000000"/>
      </w:rPr>
      <w:t xml:space="preserve">Page </w:t>
    </w:r>
    <w:r>
      <w:rPr>
        <w:b/>
        <w:color w:val="000000"/>
      </w:rPr>
      <w:fldChar w:fldCharType="begin"/>
    </w:r>
    <w:r>
      <w:rPr>
        <w:b/>
        <w:color w:val="000000"/>
      </w:rPr>
      <w:instrText>PAGE</w:instrText>
    </w:r>
    <w:r>
      <w:rPr>
        <w:b/>
        <w:color w:val="000000"/>
      </w:rPr>
      <w:fldChar w:fldCharType="separate"/>
    </w:r>
    <w:r w:rsidR="00D83588">
      <w:rPr>
        <w:b/>
        <w:noProof/>
        <w:color w:val="000000"/>
      </w:rPr>
      <w:t>13</w:t>
    </w:r>
    <w:r>
      <w:rPr>
        <w:b/>
        <w:color w:val="000000"/>
      </w:rPr>
      <w:fldChar w:fldCharType="end"/>
    </w:r>
    <w:r>
      <w:rPr>
        <w:color w:val="000000"/>
      </w:rPr>
      <w:t xml:space="preserve"> / </w:t>
    </w:r>
    <w:r>
      <w:rPr>
        <w:b/>
        <w:color w:val="000000"/>
      </w:rPr>
      <w:fldChar w:fldCharType="begin"/>
    </w:r>
    <w:r>
      <w:rPr>
        <w:b/>
        <w:color w:val="000000"/>
      </w:rPr>
      <w:instrText>NUMPAGES</w:instrText>
    </w:r>
    <w:r>
      <w:rPr>
        <w:b/>
        <w:color w:val="000000"/>
      </w:rPr>
      <w:fldChar w:fldCharType="separate"/>
    </w:r>
    <w:r w:rsidR="00D83588">
      <w:rPr>
        <w:b/>
        <w:noProof/>
        <w:color w:val="000000"/>
      </w:rPr>
      <w:t>13</w:t>
    </w:r>
    <w:r>
      <w:rPr>
        <w:b/>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A40A91" w14:textId="77777777" w:rsidR="00300953" w:rsidRDefault="00300953">
      <w:pPr>
        <w:spacing w:after="0" w:line="240" w:lineRule="auto"/>
      </w:pPr>
      <w:r>
        <w:separator/>
      </w:r>
    </w:p>
  </w:footnote>
  <w:footnote w:type="continuationSeparator" w:id="0">
    <w:p w14:paraId="2FDE54C9" w14:textId="77777777" w:rsidR="00300953" w:rsidRDefault="003009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72BB2"/>
    <w:multiLevelType w:val="hybridMultilevel"/>
    <w:tmpl w:val="08B08E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7A3F46"/>
    <w:multiLevelType w:val="hybridMultilevel"/>
    <w:tmpl w:val="65501C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32983403">
    <w:abstractNumId w:val="0"/>
  </w:num>
  <w:num w:numId="2" w16cid:durableId="15856441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79A4"/>
    <w:rsid w:val="00047EA2"/>
    <w:rsid w:val="000642B1"/>
    <w:rsid w:val="000E1528"/>
    <w:rsid w:val="001145C1"/>
    <w:rsid w:val="001626B7"/>
    <w:rsid w:val="00163838"/>
    <w:rsid w:val="001B1358"/>
    <w:rsid w:val="0023500B"/>
    <w:rsid w:val="00246976"/>
    <w:rsid w:val="002557E1"/>
    <w:rsid w:val="002631FD"/>
    <w:rsid w:val="00277176"/>
    <w:rsid w:val="002F3923"/>
    <w:rsid w:val="00300953"/>
    <w:rsid w:val="00310E33"/>
    <w:rsid w:val="00313286"/>
    <w:rsid w:val="003350A2"/>
    <w:rsid w:val="00353022"/>
    <w:rsid w:val="003B1502"/>
    <w:rsid w:val="003E20A9"/>
    <w:rsid w:val="00425E62"/>
    <w:rsid w:val="0049488E"/>
    <w:rsid w:val="004C7870"/>
    <w:rsid w:val="00531720"/>
    <w:rsid w:val="005B0356"/>
    <w:rsid w:val="006103DD"/>
    <w:rsid w:val="00684259"/>
    <w:rsid w:val="00695AFB"/>
    <w:rsid w:val="006D5ABC"/>
    <w:rsid w:val="006D5C22"/>
    <w:rsid w:val="007042BB"/>
    <w:rsid w:val="00704923"/>
    <w:rsid w:val="007479A4"/>
    <w:rsid w:val="00760712"/>
    <w:rsid w:val="00797A8A"/>
    <w:rsid w:val="007F6F01"/>
    <w:rsid w:val="00851114"/>
    <w:rsid w:val="008549B1"/>
    <w:rsid w:val="00895514"/>
    <w:rsid w:val="00936203"/>
    <w:rsid w:val="009411C4"/>
    <w:rsid w:val="0095190B"/>
    <w:rsid w:val="009F63FD"/>
    <w:rsid w:val="00A12E36"/>
    <w:rsid w:val="00A25F41"/>
    <w:rsid w:val="00A5390A"/>
    <w:rsid w:val="00A816D4"/>
    <w:rsid w:val="00A875AE"/>
    <w:rsid w:val="00AB47FB"/>
    <w:rsid w:val="00AD39D5"/>
    <w:rsid w:val="00B01ECF"/>
    <w:rsid w:val="00B76673"/>
    <w:rsid w:val="00B864B4"/>
    <w:rsid w:val="00B9213F"/>
    <w:rsid w:val="00BD4EC1"/>
    <w:rsid w:val="00BF525C"/>
    <w:rsid w:val="00C34118"/>
    <w:rsid w:val="00C350E4"/>
    <w:rsid w:val="00CA0497"/>
    <w:rsid w:val="00D0398D"/>
    <w:rsid w:val="00D83588"/>
    <w:rsid w:val="00D85F75"/>
    <w:rsid w:val="00D97699"/>
    <w:rsid w:val="00DB7648"/>
    <w:rsid w:val="00E47D15"/>
    <w:rsid w:val="00EC235A"/>
    <w:rsid w:val="00EE79B4"/>
    <w:rsid w:val="00F04279"/>
    <w:rsid w:val="00F353F6"/>
    <w:rsid w:val="00F5767F"/>
    <w:rsid w:val="00F64F79"/>
    <w:rsid w:val="00FA2828"/>
    <w:rsid w:val="00FE0A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47B3D"/>
  <w15:docId w15:val="{B07E0E27-99B9-46E9-B81D-AFC718FB8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59A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259A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259A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259A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259A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259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59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59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59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259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259A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259A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259A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259A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259A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259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59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59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59AC"/>
    <w:rPr>
      <w:rFonts w:eastAsiaTheme="majorEastAsia" w:cstheme="majorBidi"/>
      <w:color w:val="272727" w:themeColor="text1" w:themeTint="D8"/>
    </w:rPr>
  </w:style>
  <w:style w:type="character" w:customStyle="1" w:styleId="TitleChar">
    <w:name w:val="Title Char"/>
    <w:basedOn w:val="DefaultParagraphFont"/>
    <w:link w:val="Title"/>
    <w:uiPriority w:val="10"/>
    <w:rsid w:val="003259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3259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59AC"/>
    <w:pPr>
      <w:spacing w:before="160"/>
      <w:jc w:val="center"/>
    </w:pPr>
    <w:rPr>
      <w:i/>
      <w:iCs/>
      <w:color w:val="404040" w:themeColor="text1" w:themeTint="BF"/>
    </w:rPr>
  </w:style>
  <w:style w:type="character" w:customStyle="1" w:styleId="QuoteChar">
    <w:name w:val="Quote Char"/>
    <w:basedOn w:val="DefaultParagraphFont"/>
    <w:link w:val="Quote"/>
    <w:uiPriority w:val="29"/>
    <w:rsid w:val="003259AC"/>
    <w:rPr>
      <w:i/>
      <w:iCs/>
      <w:color w:val="404040" w:themeColor="text1" w:themeTint="BF"/>
    </w:rPr>
  </w:style>
  <w:style w:type="paragraph" w:styleId="ListParagraph">
    <w:name w:val="List Paragraph"/>
    <w:basedOn w:val="Normal"/>
    <w:uiPriority w:val="34"/>
    <w:qFormat/>
    <w:rsid w:val="003259AC"/>
    <w:pPr>
      <w:ind w:left="720"/>
      <w:contextualSpacing/>
    </w:pPr>
  </w:style>
  <w:style w:type="character" w:styleId="IntenseEmphasis">
    <w:name w:val="Intense Emphasis"/>
    <w:basedOn w:val="DefaultParagraphFont"/>
    <w:uiPriority w:val="21"/>
    <w:qFormat/>
    <w:rsid w:val="003259AC"/>
    <w:rPr>
      <w:i/>
      <w:iCs/>
      <w:color w:val="2F5496" w:themeColor="accent1" w:themeShade="BF"/>
    </w:rPr>
  </w:style>
  <w:style w:type="paragraph" w:styleId="IntenseQuote">
    <w:name w:val="Intense Quote"/>
    <w:basedOn w:val="Normal"/>
    <w:next w:val="Normal"/>
    <w:link w:val="IntenseQuoteChar"/>
    <w:uiPriority w:val="30"/>
    <w:qFormat/>
    <w:rsid w:val="003259A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259AC"/>
    <w:rPr>
      <w:i/>
      <w:iCs/>
      <w:color w:val="2F5496" w:themeColor="accent1" w:themeShade="BF"/>
    </w:rPr>
  </w:style>
  <w:style w:type="character" w:styleId="IntenseReference">
    <w:name w:val="Intense Reference"/>
    <w:basedOn w:val="DefaultParagraphFont"/>
    <w:uiPriority w:val="32"/>
    <w:qFormat/>
    <w:rsid w:val="003259AC"/>
    <w:rPr>
      <w:b/>
      <w:bCs/>
      <w:smallCaps/>
      <w:color w:val="2F5496" w:themeColor="accent1" w:themeShade="BF"/>
      <w:spacing w:val="5"/>
    </w:rPr>
  </w:style>
  <w:style w:type="character" w:styleId="Hyperlink">
    <w:name w:val="Hyperlink"/>
    <w:basedOn w:val="DefaultParagraphFont"/>
    <w:uiPriority w:val="99"/>
    <w:unhideWhenUsed/>
    <w:rsid w:val="003259AC"/>
    <w:rPr>
      <w:color w:val="0563C1" w:themeColor="hyperlink"/>
      <w:u w:val="single"/>
    </w:rPr>
  </w:style>
  <w:style w:type="character" w:customStyle="1" w:styleId="UnresolvedMention1">
    <w:name w:val="Unresolved Mention1"/>
    <w:basedOn w:val="DefaultParagraphFont"/>
    <w:uiPriority w:val="99"/>
    <w:semiHidden/>
    <w:unhideWhenUsed/>
    <w:rsid w:val="003259AC"/>
    <w:rPr>
      <w:color w:val="605E5C"/>
      <w:shd w:val="clear" w:color="auto" w:fill="E1DFDD"/>
    </w:rPr>
  </w:style>
  <w:style w:type="character" w:styleId="CommentReference">
    <w:name w:val="annotation reference"/>
    <w:basedOn w:val="DefaultParagraphFont"/>
    <w:uiPriority w:val="99"/>
    <w:semiHidden/>
    <w:unhideWhenUsed/>
    <w:rsid w:val="00B00B07"/>
    <w:rPr>
      <w:sz w:val="16"/>
      <w:szCs w:val="16"/>
    </w:rPr>
  </w:style>
  <w:style w:type="paragraph" w:styleId="CommentText">
    <w:name w:val="annotation text"/>
    <w:basedOn w:val="Normal"/>
    <w:link w:val="CommentTextChar"/>
    <w:uiPriority w:val="99"/>
    <w:unhideWhenUsed/>
    <w:rsid w:val="00B00B07"/>
    <w:pPr>
      <w:spacing w:line="240" w:lineRule="auto"/>
    </w:pPr>
    <w:rPr>
      <w:sz w:val="20"/>
      <w:szCs w:val="20"/>
    </w:rPr>
  </w:style>
  <w:style w:type="character" w:customStyle="1" w:styleId="CommentTextChar">
    <w:name w:val="Comment Text Char"/>
    <w:basedOn w:val="DefaultParagraphFont"/>
    <w:link w:val="CommentText"/>
    <w:uiPriority w:val="99"/>
    <w:rsid w:val="00B00B07"/>
    <w:rPr>
      <w:sz w:val="20"/>
      <w:szCs w:val="20"/>
    </w:rPr>
  </w:style>
  <w:style w:type="paragraph" w:styleId="CommentSubject">
    <w:name w:val="annotation subject"/>
    <w:basedOn w:val="CommentText"/>
    <w:next w:val="CommentText"/>
    <w:link w:val="CommentSubjectChar"/>
    <w:uiPriority w:val="99"/>
    <w:semiHidden/>
    <w:unhideWhenUsed/>
    <w:rsid w:val="00B00B07"/>
    <w:rPr>
      <w:b/>
      <w:bCs/>
    </w:rPr>
  </w:style>
  <w:style w:type="character" w:customStyle="1" w:styleId="CommentSubjectChar">
    <w:name w:val="Comment Subject Char"/>
    <w:basedOn w:val="CommentTextChar"/>
    <w:link w:val="CommentSubject"/>
    <w:uiPriority w:val="99"/>
    <w:semiHidden/>
    <w:rsid w:val="00B00B07"/>
    <w:rPr>
      <w:b/>
      <w:bCs/>
      <w:sz w:val="20"/>
      <w:szCs w:val="20"/>
    </w:rPr>
  </w:style>
  <w:style w:type="paragraph" w:styleId="Header">
    <w:name w:val="header"/>
    <w:basedOn w:val="Normal"/>
    <w:link w:val="HeaderChar"/>
    <w:uiPriority w:val="99"/>
    <w:unhideWhenUsed/>
    <w:rsid w:val="008258A3"/>
    <w:pPr>
      <w:tabs>
        <w:tab w:val="center" w:pos="4986"/>
        <w:tab w:val="right" w:pos="9972"/>
      </w:tabs>
      <w:spacing w:after="0" w:line="240" w:lineRule="auto"/>
    </w:pPr>
  </w:style>
  <w:style w:type="character" w:customStyle="1" w:styleId="HeaderChar">
    <w:name w:val="Header Char"/>
    <w:basedOn w:val="DefaultParagraphFont"/>
    <w:link w:val="Header"/>
    <w:uiPriority w:val="99"/>
    <w:rsid w:val="008258A3"/>
  </w:style>
  <w:style w:type="paragraph" w:styleId="Footer">
    <w:name w:val="footer"/>
    <w:basedOn w:val="Normal"/>
    <w:link w:val="FooterChar"/>
    <w:uiPriority w:val="99"/>
    <w:unhideWhenUsed/>
    <w:rsid w:val="008258A3"/>
    <w:pPr>
      <w:tabs>
        <w:tab w:val="center" w:pos="4986"/>
        <w:tab w:val="right" w:pos="9972"/>
      </w:tabs>
      <w:spacing w:after="0" w:line="240" w:lineRule="auto"/>
    </w:pPr>
  </w:style>
  <w:style w:type="character" w:customStyle="1" w:styleId="FooterChar">
    <w:name w:val="Footer Char"/>
    <w:basedOn w:val="DefaultParagraphFont"/>
    <w:link w:val="Footer"/>
    <w:uiPriority w:val="99"/>
    <w:rsid w:val="008258A3"/>
  </w:style>
  <w:style w:type="paragraph" w:styleId="HTMLPreformatted">
    <w:name w:val="HTML Preformatted"/>
    <w:basedOn w:val="Normal"/>
    <w:link w:val="HTMLPreformattedChar"/>
    <w:uiPriority w:val="99"/>
    <w:semiHidden/>
    <w:unhideWhenUsed/>
    <w:rsid w:val="00827413"/>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827413"/>
    <w:rPr>
      <w:rFonts w:ascii="Consolas" w:hAnsi="Consolas"/>
      <w:sz w:val="20"/>
      <w:szCs w:val="2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Bibliography">
    <w:name w:val="Bibliography"/>
    <w:basedOn w:val="Normal"/>
    <w:next w:val="Normal"/>
    <w:uiPriority w:val="37"/>
    <w:unhideWhenUsed/>
    <w:rsid w:val="006D5C22"/>
  </w:style>
  <w:style w:type="paragraph" w:styleId="Caption">
    <w:name w:val="caption"/>
    <w:basedOn w:val="Normal"/>
    <w:next w:val="Normal"/>
    <w:uiPriority w:val="35"/>
    <w:unhideWhenUsed/>
    <w:qFormat/>
    <w:rsid w:val="005B0356"/>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4948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488E"/>
    <w:rPr>
      <w:rFonts w:ascii="Segoe UI" w:hAnsi="Segoe UI" w:cs="Segoe UI"/>
      <w:sz w:val="18"/>
      <w:szCs w:val="18"/>
    </w:rPr>
  </w:style>
  <w:style w:type="paragraph" w:styleId="NormalWeb">
    <w:name w:val="Normal (Web)"/>
    <w:basedOn w:val="Normal"/>
    <w:uiPriority w:val="99"/>
    <w:semiHidden/>
    <w:unhideWhenUsed/>
    <w:rsid w:val="009411C4"/>
    <w:rPr>
      <w:rFonts w:ascii="Times New Roman" w:hAnsi="Times New Roman" w:cs="Times New Roman"/>
      <w:sz w:val="24"/>
      <w:szCs w:val="24"/>
    </w:rPr>
  </w:style>
  <w:style w:type="paragraph" w:styleId="Revision">
    <w:name w:val="Revision"/>
    <w:hidden/>
    <w:uiPriority w:val="99"/>
    <w:semiHidden/>
    <w:rsid w:val="00D97699"/>
    <w:pPr>
      <w:spacing w:after="0" w:line="240" w:lineRule="auto"/>
    </w:pPr>
  </w:style>
  <w:style w:type="table" w:styleId="TableGrid">
    <w:name w:val="Table Grid"/>
    <w:basedOn w:val="TableNormal"/>
    <w:uiPriority w:val="39"/>
    <w:rsid w:val="00BD4E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FA28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29712">
      <w:bodyDiv w:val="1"/>
      <w:marLeft w:val="0"/>
      <w:marRight w:val="0"/>
      <w:marTop w:val="0"/>
      <w:marBottom w:val="0"/>
      <w:divBdr>
        <w:top w:val="none" w:sz="0" w:space="0" w:color="auto"/>
        <w:left w:val="none" w:sz="0" w:space="0" w:color="auto"/>
        <w:bottom w:val="none" w:sz="0" w:space="0" w:color="auto"/>
        <w:right w:val="none" w:sz="0" w:space="0" w:color="auto"/>
      </w:divBdr>
    </w:div>
    <w:div w:id="79527489">
      <w:bodyDiv w:val="1"/>
      <w:marLeft w:val="0"/>
      <w:marRight w:val="0"/>
      <w:marTop w:val="0"/>
      <w:marBottom w:val="0"/>
      <w:divBdr>
        <w:top w:val="none" w:sz="0" w:space="0" w:color="auto"/>
        <w:left w:val="none" w:sz="0" w:space="0" w:color="auto"/>
        <w:bottom w:val="none" w:sz="0" w:space="0" w:color="auto"/>
        <w:right w:val="none" w:sz="0" w:space="0" w:color="auto"/>
      </w:divBdr>
    </w:div>
    <w:div w:id="79723270">
      <w:bodyDiv w:val="1"/>
      <w:marLeft w:val="0"/>
      <w:marRight w:val="0"/>
      <w:marTop w:val="0"/>
      <w:marBottom w:val="0"/>
      <w:divBdr>
        <w:top w:val="none" w:sz="0" w:space="0" w:color="auto"/>
        <w:left w:val="none" w:sz="0" w:space="0" w:color="auto"/>
        <w:bottom w:val="none" w:sz="0" w:space="0" w:color="auto"/>
        <w:right w:val="none" w:sz="0" w:space="0" w:color="auto"/>
      </w:divBdr>
      <w:divsChild>
        <w:div w:id="94056335">
          <w:marLeft w:val="0"/>
          <w:marRight w:val="0"/>
          <w:marTop w:val="0"/>
          <w:marBottom w:val="0"/>
          <w:divBdr>
            <w:top w:val="none" w:sz="0" w:space="0" w:color="auto"/>
            <w:left w:val="none" w:sz="0" w:space="0" w:color="auto"/>
            <w:bottom w:val="none" w:sz="0" w:space="0" w:color="auto"/>
            <w:right w:val="none" w:sz="0" w:space="0" w:color="auto"/>
          </w:divBdr>
        </w:div>
        <w:div w:id="608321290">
          <w:marLeft w:val="0"/>
          <w:marRight w:val="0"/>
          <w:marTop w:val="0"/>
          <w:marBottom w:val="0"/>
          <w:divBdr>
            <w:top w:val="none" w:sz="0" w:space="0" w:color="auto"/>
            <w:left w:val="none" w:sz="0" w:space="0" w:color="auto"/>
            <w:bottom w:val="none" w:sz="0" w:space="0" w:color="auto"/>
            <w:right w:val="none" w:sz="0" w:space="0" w:color="auto"/>
          </w:divBdr>
        </w:div>
        <w:div w:id="1869567729">
          <w:marLeft w:val="0"/>
          <w:marRight w:val="0"/>
          <w:marTop w:val="0"/>
          <w:marBottom w:val="0"/>
          <w:divBdr>
            <w:top w:val="none" w:sz="0" w:space="0" w:color="auto"/>
            <w:left w:val="none" w:sz="0" w:space="0" w:color="auto"/>
            <w:bottom w:val="none" w:sz="0" w:space="0" w:color="auto"/>
            <w:right w:val="none" w:sz="0" w:space="0" w:color="auto"/>
          </w:divBdr>
        </w:div>
      </w:divsChild>
    </w:div>
    <w:div w:id="464735090">
      <w:bodyDiv w:val="1"/>
      <w:marLeft w:val="0"/>
      <w:marRight w:val="0"/>
      <w:marTop w:val="0"/>
      <w:marBottom w:val="0"/>
      <w:divBdr>
        <w:top w:val="none" w:sz="0" w:space="0" w:color="auto"/>
        <w:left w:val="none" w:sz="0" w:space="0" w:color="auto"/>
        <w:bottom w:val="none" w:sz="0" w:space="0" w:color="auto"/>
        <w:right w:val="none" w:sz="0" w:space="0" w:color="auto"/>
      </w:divBdr>
    </w:div>
    <w:div w:id="19046397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ldo.gardini@unibo.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l6sL67R4Fgn40Acwg+qxuEmM1w==">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5352</TotalTime>
  <Pages>3</Pages>
  <Words>1203</Words>
  <Characters>6858</Characters>
  <Application>Microsoft Office Word</Application>
  <DocSecurity>0</DocSecurity>
  <Lines>57</Lines>
  <Paragraphs>16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8045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 Curti</dc:creator>
  <cp:lastModifiedBy>Nico Curti</cp:lastModifiedBy>
  <cp:revision>23</cp:revision>
  <dcterms:created xsi:type="dcterms:W3CDTF">2025-01-16T15:10:00Z</dcterms:created>
  <dcterms:modified xsi:type="dcterms:W3CDTF">2025-03-04T13:34:00Z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id="Qx7uERk4"/&gt;&lt;style id="http://www.zotero.org/styles/nature" hasBibliography="1" bibliographyStyleHasBeenSet="1"/&gt;&lt;prefs&gt;&lt;pref name="fieldType" value="Field"/&gt;&lt;/prefs&gt;&lt;/data&gt;</vt:lpwstr>
  </property>
</Properties>
</file>