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718CF7" w14:textId="717A756D" w:rsidR="009C5C11" w:rsidRPr="00692515" w:rsidRDefault="009C5C11" w:rsidP="00A31CC3">
      <w:pPr>
        <w:spacing w:line="360" w:lineRule="auto"/>
        <w:jc w:val="center"/>
        <w:rPr>
          <w:rFonts w:ascii="Arial" w:eastAsia="Times New Roman" w:hAnsi="Arial" w:cs="Arial"/>
          <w:b/>
          <w:i/>
          <w:iCs/>
          <w:sz w:val="32"/>
          <w:szCs w:val="32"/>
        </w:rPr>
      </w:pPr>
      <w:r w:rsidRPr="00692515">
        <w:rPr>
          <w:rFonts w:ascii="Arial" w:eastAsia="Times New Roman" w:hAnsi="Arial" w:cs="Arial"/>
          <w:b/>
          <w:i/>
          <w:iCs/>
          <w:sz w:val="32"/>
          <w:szCs w:val="32"/>
        </w:rPr>
        <w:t>FULL TEXT OF A FINAL DRAFT / PRE-PRINT VERSION</w:t>
      </w:r>
    </w:p>
    <w:p w14:paraId="4E93AE0F" w14:textId="2680FCDE" w:rsidR="00A31CC3" w:rsidRPr="003135A8" w:rsidRDefault="00A31CC3" w:rsidP="00A31CC3">
      <w:pPr>
        <w:spacing w:line="360" w:lineRule="auto"/>
        <w:jc w:val="center"/>
        <w:rPr>
          <w:rFonts w:ascii="Times New Roman" w:eastAsia="Times New Roman" w:hAnsi="Times New Roman" w:cs="Times New Roman"/>
          <w:b/>
          <w:sz w:val="24"/>
          <w:szCs w:val="24"/>
        </w:rPr>
      </w:pPr>
      <w:r w:rsidRPr="003135A8">
        <w:rPr>
          <w:rFonts w:ascii="Times New Roman" w:eastAsia="Times New Roman" w:hAnsi="Times New Roman" w:cs="Times New Roman"/>
          <w:b/>
          <w:sz w:val="24"/>
          <w:szCs w:val="24"/>
        </w:rPr>
        <w:t>Environment, Climate and Health at the Crossroads</w:t>
      </w:r>
    </w:p>
    <w:p w14:paraId="12894FD1" w14:textId="77777777" w:rsidR="00A31CC3" w:rsidRPr="003135A8" w:rsidRDefault="00A31CC3" w:rsidP="00A31CC3">
      <w:pPr>
        <w:spacing w:line="360" w:lineRule="auto"/>
        <w:jc w:val="center"/>
        <w:rPr>
          <w:rFonts w:ascii="Times New Roman" w:eastAsia="Times New Roman" w:hAnsi="Times New Roman" w:cs="Times New Roman"/>
          <w:b/>
          <w:sz w:val="24"/>
          <w:szCs w:val="24"/>
        </w:rPr>
      </w:pPr>
      <w:r w:rsidRPr="003135A8">
        <w:rPr>
          <w:rFonts w:ascii="Times New Roman" w:eastAsia="Times New Roman" w:hAnsi="Times New Roman" w:cs="Times New Roman"/>
          <w:b/>
          <w:sz w:val="24"/>
          <w:szCs w:val="24"/>
        </w:rPr>
        <w:t>A Critical Analysis of Public Policy and Political Communication Discourse in the EU</w:t>
      </w:r>
    </w:p>
    <w:p w14:paraId="38C7BAA6" w14:textId="77777777" w:rsidR="00A31CC3" w:rsidRPr="003135A8" w:rsidRDefault="00A31CC3" w:rsidP="00A31CC3">
      <w:pPr>
        <w:spacing w:after="0" w:line="360" w:lineRule="auto"/>
        <w:jc w:val="center"/>
        <w:rPr>
          <w:rFonts w:ascii="Times New Roman" w:eastAsia="Times New Roman" w:hAnsi="Times New Roman" w:cs="Times New Roman"/>
          <w:sz w:val="24"/>
          <w:szCs w:val="24"/>
          <w:lang w:val="it-IT"/>
        </w:rPr>
      </w:pPr>
      <w:r w:rsidRPr="003135A8">
        <w:rPr>
          <w:rFonts w:ascii="Times New Roman" w:eastAsia="Times New Roman" w:hAnsi="Times New Roman" w:cs="Times New Roman"/>
          <w:sz w:val="24"/>
          <w:szCs w:val="24"/>
          <w:lang w:val="it-IT"/>
        </w:rPr>
        <w:t>Cinzia Bevitori (University of Bologna)</w:t>
      </w:r>
    </w:p>
    <w:p w14:paraId="61505535" w14:textId="77777777" w:rsidR="00A31CC3" w:rsidRPr="003135A8" w:rsidRDefault="00A31CC3" w:rsidP="00A31CC3">
      <w:pPr>
        <w:spacing w:after="0" w:line="360" w:lineRule="auto"/>
        <w:jc w:val="center"/>
        <w:rPr>
          <w:rFonts w:ascii="Times New Roman" w:eastAsia="Times New Roman" w:hAnsi="Times New Roman" w:cs="Times New Roman"/>
          <w:sz w:val="24"/>
          <w:szCs w:val="24"/>
        </w:rPr>
      </w:pPr>
      <w:r w:rsidRPr="003135A8">
        <w:rPr>
          <w:rFonts w:ascii="Times New Roman" w:eastAsia="Times New Roman" w:hAnsi="Times New Roman" w:cs="Times New Roman"/>
          <w:sz w:val="24"/>
          <w:szCs w:val="24"/>
        </w:rPr>
        <w:t>Katherine E. Russo (University of Naples “</w:t>
      </w:r>
      <w:proofErr w:type="spellStart"/>
      <w:r w:rsidRPr="003135A8">
        <w:rPr>
          <w:rFonts w:ascii="Times New Roman" w:eastAsia="Times New Roman" w:hAnsi="Times New Roman" w:cs="Times New Roman"/>
          <w:sz w:val="24"/>
          <w:szCs w:val="24"/>
        </w:rPr>
        <w:t>L’Orientale</w:t>
      </w:r>
      <w:proofErr w:type="spellEnd"/>
      <w:r w:rsidRPr="003135A8">
        <w:rPr>
          <w:rFonts w:ascii="Times New Roman" w:eastAsia="Times New Roman" w:hAnsi="Times New Roman" w:cs="Times New Roman"/>
          <w:sz w:val="24"/>
          <w:szCs w:val="24"/>
        </w:rPr>
        <w:t>”)</w:t>
      </w:r>
      <w:r w:rsidRPr="003135A8">
        <w:rPr>
          <w:rStyle w:val="FootnoteReference"/>
          <w:rFonts w:ascii="Times New Roman" w:eastAsia="Times New Roman" w:hAnsi="Times New Roman" w:cs="Times New Roman"/>
          <w:b/>
          <w:sz w:val="24"/>
          <w:szCs w:val="24"/>
        </w:rPr>
        <w:t xml:space="preserve"> </w:t>
      </w:r>
      <w:r w:rsidRPr="003135A8">
        <w:rPr>
          <w:rStyle w:val="FootnoteReference"/>
          <w:rFonts w:ascii="Times New Roman" w:eastAsia="Times New Roman" w:hAnsi="Times New Roman" w:cs="Times New Roman"/>
          <w:b/>
          <w:sz w:val="24"/>
          <w:szCs w:val="24"/>
        </w:rPr>
        <w:footnoteReference w:id="1"/>
      </w:r>
    </w:p>
    <w:p w14:paraId="61E1C977" w14:textId="77777777" w:rsidR="00A31CC3" w:rsidRPr="003135A8" w:rsidRDefault="00A31CC3" w:rsidP="00A31CC3">
      <w:pPr>
        <w:spacing w:after="0" w:line="240" w:lineRule="auto"/>
        <w:ind w:left="3600"/>
        <w:jc w:val="both"/>
        <w:rPr>
          <w:rFonts w:ascii="Times New Roman" w:eastAsia="Times New Roman" w:hAnsi="Times New Roman" w:cs="Times New Roman"/>
        </w:rPr>
      </w:pPr>
    </w:p>
    <w:p w14:paraId="2DFAB3B2" w14:textId="77777777" w:rsidR="00A31CC3" w:rsidRPr="003135A8" w:rsidRDefault="00A31CC3" w:rsidP="00A31CC3">
      <w:pPr>
        <w:spacing w:after="0" w:line="240" w:lineRule="auto"/>
        <w:ind w:left="3600"/>
        <w:jc w:val="both"/>
        <w:rPr>
          <w:rFonts w:ascii="Times New Roman" w:eastAsia="Times New Roman" w:hAnsi="Times New Roman" w:cs="Times New Roman"/>
        </w:rPr>
      </w:pPr>
    </w:p>
    <w:p w14:paraId="05CC88DD" w14:textId="77777777" w:rsidR="00A31CC3" w:rsidRPr="003135A8" w:rsidRDefault="00A31CC3" w:rsidP="00A31CC3">
      <w:pPr>
        <w:spacing w:after="0" w:line="240" w:lineRule="auto"/>
        <w:ind w:left="3600"/>
        <w:jc w:val="both"/>
        <w:rPr>
          <w:rFonts w:ascii="Times New Roman" w:eastAsia="Times New Roman" w:hAnsi="Times New Roman" w:cs="Times New Roman"/>
        </w:rPr>
      </w:pPr>
    </w:p>
    <w:p w14:paraId="12AB278E" w14:textId="77777777" w:rsidR="00A31CC3" w:rsidRPr="003135A8" w:rsidRDefault="00A31CC3" w:rsidP="00A31CC3">
      <w:pPr>
        <w:spacing w:after="0" w:line="240" w:lineRule="auto"/>
        <w:ind w:left="3600"/>
        <w:jc w:val="both"/>
        <w:rPr>
          <w:rFonts w:ascii="Times New Roman" w:eastAsia="Times New Roman" w:hAnsi="Times New Roman" w:cs="Times New Roman"/>
        </w:rPr>
      </w:pPr>
      <w:r w:rsidRPr="003135A8">
        <w:rPr>
          <w:rFonts w:ascii="Times New Roman" w:eastAsia="Times New Roman" w:hAnsi="Times New Roman" w:cs="Times New Roman"/>
        </w:rPr>
        <w:t>You cannot understand health without understanding people and society, economy and the environment. This is nothing new. Centuries ago, Hippocrates advised physicians to learn meteorology before medicine.</w:t>
      </w:r>
    </w:p>
    <w:p w14:paraId="4B193EF0" w14:textId="77777777" w:rsidR="00A31CC3" w:rsidRPr="003135A8" w:rsidRDefault="00A31CC3" w:rsidP="00A31CC3">
      <w:pPr>
        <w:spacing w:after="0" w:line="240" w:lineRule="auto"/>
        <w:ind w:left="4320" w:firstLine="720"/>
        <w:rPr>
          <w:rFonts w:ascii="Times New Roman" w:eastAsia="Times New Roman" w:hAnsi="Times New Roman" w:cs="Times New Roman"/>
        </w:rPr>
      </w:pPr>
      <w:r w:rsidRPr="003135A8">
        <w:rPr>
          <w:rFonts w:ascii="Times New Roman" w:eastAsia="Times New Roman" w:hAnsi="Times New Roman" w:cs="Times New Roman"/>
        </w:rPr>
        <w:t>(Ursula von der Leyen - Brussels 19 October 2020)</w:t>
      </w:r>
    </w:p>
    <w:p w14:paraId="22905A8D" w14:textId="77777777" w:rsidR="00A31CC3" w:rsidRPr="003135A8" w:rsidRDefault="00A31CC3" w:rsidP="00A31CC3">
      <w:pPr>
        <w:spacing w:before="240" w:after="240" w:line="360" w:lineRule="auto"/>
        <w:rPr>
          <w:rFonts w:ascii="Times New Roman" w:eastAsia="Times New Roman" w:hAnsi="Times New Roman" w:cs="Times New Roman"/>
          <w:sz w:val="24"/>
          <w:szCs w:val="24"/>
        </w:rPr>
      </w:pPr>
    </w:p>
    <w:p w14:paraId="16EE9324" w14:textId="77777777" w:rsidR="00A31CC3" w:rsidRPr="00A207CD" w:rsidRDefault="00A31CC3" w:rsidP="00A31CC3">
      <w:pPr>
        <w:spacing w:line="360" w:lineRule="auto"/>
        <w:rPr>
          <w:rFonts w:ascii="Times New Roman" w:eastAsia="Times New Roman" w:hAnsi="Times New Roman" w:cs="Times New Roman"/>
          <w:b/>
          <w:sz w:val="24"/>
          <w:szCs w:val="24"/>
        </w:rPr>
      </w:pPr>
      <w:r w:rsidRPr="003135A8">
        <w:rPr>
          <w:rFonts w:ascii="Times New Roman" w:eastAsia="Times New Roman" w:hAnsi="Times New Roman" w:cs="Times New Roman"/>
          <w:b/>
          <w:sz w:val="24"/>
          <w:szCs w:val="24"/>
        </w:rPr>
        <w:t>1. Introduction:</w:t>
      </w:r>
      <w:r w:rsidRPr="00A207CD">
        <w:rPr>
          <w:rFonts w:ascii="Times New Roman" w:eastAsia="Times New Roman" w:hAnsi="Times New Roman" w:cs="Times New Roman"/>
          <w:b/>
          <w:sz w:val="24"/>
          <w:szCs w:val="24"/>
        </w:rPr>
        <w:t xml:space="preserve"> Climate, Environment and Health in the Public Space</w:t>
      </w:r>
    </w:p>
    <w:p w14:paraId="598F7D3B" w14:textId="77777777" w:rsidR="00A31CC3" w:rsidRPr="00A207CD" w:rsidRDefault="00A31CC3" w:rsidP="00A31CC3">
      <w:pPr>
        <w:spacing w:line="360" w:lineRule="auto"/>
        <w:jc w:val="both"/>
        <w:rPr>
          <w:rFonts w:ascii="Times New Roman" w:eastAsia="Times New Roman" w:hAnsi="Times New Roman" w:cs="Times New Roman"/>
          <w:sz w:val="24"/>
          <w:szCs w:val="24"/>
        </w:rPr>
      </w:pPr>
      <w:r w:rsidRPr="00321BA1">
        <w:rPr>
          <w:rFonts w:ascii="Times New Roman" w:eastAsia="Times New Roman" w:hAnsi="Times New Roman" w:cs="Times New Roman"/>
          <w:sz w:val="24"/>
          <w:szCs w:val="24"/>
        </w:rPr>
        <w:t xml:space="preserve">Environmental and climate-change health problems are increasingly identified, constructed and evaluated as </w:t>
      </w:r>
      <w:r w:rsidRPr="00A207CD">
        <w:rPr>
          <w:rFonts w:ascii="Times New Roman" w:eastAsia="Times New Roman" w:hAnsi="Times New Roman" w:cs="Times New Roman"/>
          <w:sz w:val="24"/>
          <w:szCs w:val="24"/>
        </w:rPr>
        <w:t xml:space="preserve">risks and threats in policy discourse (Fox </w:t>
      </w:r>
      <w:r w:rsidRPr="00A207CD">
        <w:rPr>
          <w:rFonts w:ascii="Times New Roman" w:eastAsia="Times New Roman" w:hAnsi="Times New Roman" w:cs="Times New Roman"/>
          <w:i/>
          <w:sz w:val="24"/>
          <w:szCs w:val="24"/>
        </w:rPr>
        <w:t>et al.</w:t>
      </w:r>
      <w:r w:rsidRPr="00A207CD">
        <w:rPr>
          <w:rFonts w:ascii="Times New Roman" w:eastAsia="Times New Roman" w:hAnsi="Times New Roman" w:cs="Times New Roman"/>
          <w:sz w:val="24"/>
          <w:szCs w:val="24"/>
        </w:rPr>
        <w:t xml:space="preserve"> 2019). Indeed, the need for better-informed deliberation and decision-making in regard to health threats associated with</w:t>
      </w:r>
      <w:r>
        <w:rPr>
          <w:rFonts w:ascii="Times New Roman" w:eastAsia="Times New Roman" w:hAnsi="Times New Roman" w:cs="Times New Roman"/>
          <w:sz w:val="24"/>
          <w:szCs w:val="24"/>
        </w:rPr>
        <w:t xml:space="preserve"> </w:t>
      </w:r>
      <w:r w:rsidRPr="00A207CD">
        <w:rPr>
          <w:rFonts w:ascii="Times New Roman" w:eastAsia="Times New Roman" w:hAnsi="Times New Roman" w:cs="Times New Roman"/>
          <w:sz w:val="24"/>
          <w:szCs w:val="24"/>
        </w:rPr>
        <w:t>the environment and climate change came to the fore as a new geopolitical “game-changer”</w:t>
      </w:r>
      <w:r>
        <w:rPr>
          <w:rStyle w:val="FootnoteReference"/>
          <w:rFonts w:ascii="Times New Roman" w:eastAsia="Times New Roman" w:hAnsi="Times New Roman" w:cs="Times New Roman"/>
          <w:sz w:val="24"/>
          <w:szCs w:val="24"/>
        </w:rPr>
        <w:footnoteReference w:id="2"/>
      </w:r>
      <w:r w:rsidRPr="003135A8">
        <w:rPr>
          <w:rFonts w:ascii="Times New Roman" w:eastAsia="Times New Roman" w:hAnsi="Times New Roman" w:cs="Times New Roman"/>
          <w:sz w:val="24"/>
          <w:szCs w:val="24"/>
        </w:rPr>
        <w:t xml:space="preserve"> the Covid-19 pandemic, unsettled the way we app</w:t>
      </w:r>
      <w:r w:rsidRPr="00A207CD">
        <w:rPr>
          <w:rFonts w:ascii="Times New Roman" w:eastAsia="Times New Roman" w:hAnsi="Times New Roman" w:cs="Times New Roman"/>
          <w:sz w:val="24"/>
          <w:szCs w:val="24"/>
        </w:rPr>
        <w:t>roached the relationship between health and the environment. In this light, recent studies have claimed that framing the environment and climate change as a public health concern in public policy communication would help to increase the involvement of the public in engaging with deliberations and decision-making (</w:t>
      </w:r>
      <w:proofErr w:type="spellStart"/>
      <w:r w:rsidRPr="00A207CD">
        <w:rPr>
          <w:rFonts w:ascii="Times New Roman" w:eastAsia="Times New Roman" w:hAnsi="Times New Roman" w:cs="Times New Roman"/>
          <w:sz w:val="24"/>
          <w:szCs w:val="24"/>
        </w:rPr>
        <w:t>Depoux</w:t>
      </w:r>
      <w:proofErr w:type="spellEnd"/>
      <w:r w:rsidRPr="00A207CD">
        <w:rPr>
          <w:rFonts w:ascii="Times New Roman" w:eastAsia="Times New Roman" w:hAnsi="Times New Roman" w:cs="Times New Roman"/>
          <w:sz w:val="24"/>
          <w:szCs w:val="24"/>
        </w:rPr>
        <w:t xml:space="preserve"> </w:t>
      </w:r>
      <w:r w:rsidRPr="00A207CD">
        <w:rPr>
          <w:rFonts w:ascii="Times New Roman" w:eastAsia="Times New Roman" w:hAnsi="Times New Roman" w:cs="Times New Roman"/>
          <w:i/>
          <w:sz w:val="24"/>
          <w:szCs w:val="24"/>
        </w:rPr>
        <w:t>et al.</w:t>
      </w:r>
      <w:r w:rsidRPr="00A207CD">
        <w:rPr>
          <w:rFonts w:ascii="Times New Roman" w:eastAsia="Times New Roman" w:hAnsi="Times New Roman" w:cs="Times New Roman"/>
          <w:sz w:val="24"/>
          <w:szCs w:val="24"/>
        </w:rPr>
        <w:t xml:space="preserve"> 2017). </w:t>
      </w:r>
    </w:p>
    <w:p w14:paraId="70C42044" w14:textId="77777777" w:rsidR="00A31CC3" w:rsidRPr="00D8573A" w:rsidRDefault="00A31CC3" w:rsidP="00A31CC3">
      <w:pPr>
        <w:spacing w:line="360" w:lineRule="auto"/>
        <w:jc w:val="both"/>
        <w:rPr>
          <w:rFonts w:ascii="Times New Roman" w:eastAsia="Times New Roman" w:hAnsi="Times New Roman" w:cs="Times New Roman"/>
          <w:sz w:val="24"/>
          <w:szCs w:val="24"/>
        </w:rPr>
      </w:pPr>
      <w:r w:rsidRPr="00A207CD">
        <w:rPr>
          <w:rFonts w:ascii="Times New Roman" w:eastAsia="Times New Roman" w:hAnsi="Times New Roman" w:cs="Times New Roman"/>
          <w:sz w:val="24"/>
          <w:szCs w:val="24"/>
        </w:rPr>
        <w:t>This chapter is concerned with theories and methodologies of critical discourse analysis and their contribution to climate change, environmental and health policy research in the European Union. It is based on a view of policy-making in which “deliberation and decision</w:t>
      </w:r>
      <w:r w:rsidRPr="00CB7FDE">
        <w:rPr>
          <w:rFonts w:ascii="Times New Roman" w:eastAsia="Times New Roman" w:hAnsi="Times New Roman" w:cs="Times New Roman"/>
          <w:sz w:val="24"/>
          <w:szCs w:val="24"/>
        </w:rPr>
        <w:t>-making</w:t>
      </w:r>
      <w:r w:rsidRPr="00A207CD">
        <w:rPr>
          <w:rFonts w:ascii="Times New Roman" w:eastAsia="Times New Roman" w:hAnsi="Times New Roman" w:cs="Times New Roman"/>
          <w:sz w:val="24"/>
          <w:szCs w:val="24"/>
        </w:rPr>
        <w:t xml:space="preserve"> in contexts of uncertainty, risk and persistent disagreement” are fundamentally based on the social construction of meaning (Fairclough and Fairclough 2012:17). For instance, the scientific interpretation of environmental and climate change risks is far from being stable and unproblematic, hence outcomes </w:t>
      </w:r>
      <w:r w:rsidRPr="00A207CD">
        <w:rPr>
          <w:rFonts w:ascii="Times New Roman" w:eastAsia="Times New Roman" w:hAnsi="Times New Roman" w:cs="Times New Roman"/>
          <w:sz w:val="24"/>
          <w:szCs w:val="24"/>
        </w:rPr>
        <w:lastRenderedPageBreak/>
        <w:t>such as environmental sustainability and climate change risks and threats have often been contested and their measurement leads to political contestation (Latour 1987; Russo 2018). Decision-making about uncertain and future risks based on scientific findings is an intrinsic feature of deliberation and policy-making yet due to its discursive nature, it does not simply respond to external and material threats, but constitute them as risks, problems or, at times, “opportunities” (</w:t>
      </w:r>
      <w:r w:rsidRPr="00FA2912">
        <w:rPr>
          <w:rFonts w:ascii="Times New Roman" w:eastAsia="Times New Roman" w:hAnsi="Times New Roman" w:cs="Times New Roman"/>
          <w:i/>
          <w:sz w:val="24"/>
          <w:szCs w:val="24"/>
        </w:rPr>
        <w:t xml:space="preserve">Lancet Commission </w:t>
      </w:r>
      <w:r w:rsidRPr="00FA2912">
        <w:rPr>
          <w:rFonts w:ascii="Times New Roman" w:eastAsia="Times New Roman" w:hAnsi="Times New Roman" w:cs="Times New Roman"/>
          <w:sz w:val="24"/>
          <w:szCs w:val="24"/>
        </w:rPr>
        <w:t>[2017] 2020</w:t>
      </w:r>
      <w:r w:rsidRPr="00A207CD">
        <w:rPr>
          <w:rFonts w:ascii="Times New Roman" w:eastAsia="Times New Roman" w:hAnsi="Times New Roman" w:cs="Times New Roman"/>
          <w:sz w:val="24"/>
          <w:szCs w:val="24"/>
        </w:rPr>
        <w:t>). Hence, we believe that the antagonistic nature of policy discourse may provide a window into how societies express and define themselves as they grapple with uncertainties about facts, options, beliefs and common values. All deliberations and decision-making are set in a social context and framed by backgrounding or foregrounding different ways of looking at risks based on the same elements: options, outcomes and uncertainties (</w:t>
      </w:r>
      <w:proofErr w:type="spellStart"/>
      <w:r w:rsidRPr="00FA2912">
        <w:rPr>
          <w:rFonts w:ascii="Times New Roman" w:eastAsia="Times New Roman" w:hAnsi="Times New Roman" w:cs="Times New Roman"/>
          <w:sz w:val="24"/>
          <w:szCs w:val="24"/>
        </w:rPr>
        <w:t>Fischhoff</w:t>
      </w:r>
      <w:proofErr w:type="spellEnd"/>
      <w:r w:rsidRPr="00FA2912">
        <w:rPr>
          <w:rFonts w:ascii="Times New Roman" w:eastAsia="Times New Roman" w:hAnsi="Times New Roman" w:cs="Times New Roman"/>
          <w:sz w:val="24"/>
          <w:szCs w:val="24"/>
        </w:rPr>
        <w:t xml:space="preserve"> and </w:t>
      </w:r>
      <w:proofErr w:type="spellStart"/>
      <w:r w:rsidRPr="00FA2912">
        <w:rPr>
          <w:rFonts w:ascii="Times New Roman" w:eastAsia="Times New Roman" w:hAnsi="Times New Roman" w:cs="Times New Roman"/>
          <w:sz w:val="24"/>
          <w:szCs w:val="24"/>
        </w:rPr>
        <w:t>Kadvany</w:t>
      </w:r>
      <w:proofErr w:type="spellEnd"/>
      <w:r w:rsidRPr="00FA2912">
        <w:rPr>
          <w:rFonts w:ascii="Times New Roman" w:eastAsia="Times New Roman" w:hAnsi="Times New Roman" w:cs="Times New Roman"/>
          <w:sz w:val="24"/>
          <w:szCs w:val="24"/>
        </w:rPr>
        <w:t xml:space="preserve"> 2011: 20). As Peter H. </w:t>
      </w:r>
      <w:proofErr w:type="spellStart"/>
      <w:r w:rsidRPr="00FA2912">
        <w:rPr>
          <w:rFonts w:ascii="Times New Roman" w:eastAsia="Times New Roman" w:hAnsi="Times New Roman" w:cs="Times New Roman"/>
          <w:sz w:val="24"/>
          <w:szCs w:val="24"/>
        </w:rPr>
        <w:t>Feindt</w:t>
      </w:r>
      <w:proofErr w:type="spellEnd"/>
      <w:r w:rsidRPr="00FA2912">
        <w:rPr>
          <w:rFonts w:ascii="Times New Roman" w:eastAsia="Times New Roman" w:hAnsi="Times New Roman" w:cs="Times New Roman"/>
          <w:sz w:val="24"/>
          <w:szCs w:val="24"/>
        </w:rPr>
        <w:t xml:space="preserve"> and Angela </w:t>
      </w:r>
      <w:proofErr w:type="spellStart"/>
      <w:r w:rsidRPr="00FA2912">
        <w:rPr>
          <w:rFonts w:ascii="Times New Roman" w:eastAsia="Times New Roman" w:hAnsi="Times New Roman" w:cs="Times New Roman"/>
          <w:sz w:val="24"/>
          <w:szCs w:val="24"/>
        </w:rPr>
        <w:t>Oels</w:t>
      </w:r>
      <w:proofErr w:type="spellEnd"/>
      <w:r w:rsidRPr="00FA2912">
        <w:rPr>
          <w:rFonts w:ascii="Times New Roman" w:eastAsia="Times New Roman" w:hAnsi="Times New Roman" w:cs="Times New Roman"/>
          <w:sz w:val="24"/>
          <w:szCs w:val="24"/>
        </w:rPr>
        <w:t xml:space="preserve"> (2005</w:t>
      </w:r>
      <w:r w:rsidRPr="00A207CD">
        <w:rPr>
          <w:rFonts w:ascii="Times New Roman" w:eastAsia="Times New Roman" w:hAnsi="Times New Roman" w:cs="Times New Roman"/>
          <w:sz w:val="24"/>
          <w:szCs w:val="24"/>
        </w:rPr>
        <w:t>) note</w:t>
      </w:r>
      <w:r>
        <w:rPr>
          <w:rFonts w:ascii="Times New Roman" w:eastAsia="Times New Roman" w:hAnsi="Times New Roman" w:cs="Times New Roman"/>
          <w:sz w:val="24"/>
          <w:szCs w:val="24"/>
        </w:rPr>
        <w:t>:</w:t>
      </w:r>
    </w:p>
    <w:p w14:paraId="2F16B6C2" w14:textId="77777777" w:rsidR="00A31CC3" w:rsidRPr="002548C9" w:rsidRDefault="00A31CC3" w:rsidP="00A31CC3">
      <w:pPr>
        <w:ind w:left="720"/>
        <w:jc w:val="both"/>
        <w:rPr>
          <w:rFonts w:ascii="Times New Roman" w:eastAsia="Times New Roman" w:hAnsi="Times New Roman" w:cs="Times New Roman"/>
        </w:rPr>
      </w:pPr>
      <w:r w:rsidRPr="002548C9">
        <w:rPr>
          <w:rFonts w:ascii="Times New Roman" w:eastAsia="Times New Roman" w:hAnsi="Times New Roman" w:cs="Times New Roman"/>
        </w:rPr>
        <w:t>Saying that environmental problems are socially constructed does not mean that there are no illnesses, malnutrition, loss of species and natural beauty, floods etc. caused by contaminated water and polluted air, by drought, logging or a rising ocean level. Instead, it means that there is not one authoritative interpretation of these events but multiple contested interpretations. When occurrences are interpreted as elements of dynamic and systemic developments, as anthropogenically caused or as posing management problems, the realm of environmental discourse is entered (2005: 162)</w:t>
      </w:r>
    </w:p>
    <w:p w14:paraId="156DF33E" w14:textId="77777777" w:rsidR="00A31CC3" w:rsidRDefault="00A31CC3" w:rsidP="00A31CC3">
      <w:pPr>
        <w:spacing w:line="360" w:lineRule="auto"/>
        <w:jc w:val="both"/>
        <w:rPr>
          <w:rFonts w:ascii="Times New Roman" w:eastAsia="Times New Roman" w:hAnsi="Times New Roman" w:cs="Times New Roman"/>
          <w:sz w:val="24"/>
          <w:szCs w:val="24"/>
        </w:rPr>
      </w:pPr>
    </w:p>
    <w:p w14:paraId="36193EEE" w14:textId="77777777" w:rsidR="00A31CC3" w:rsidRPr="00A207CD" w:rsidRDefault="00A31CC3" w:rsidP="00A31CC3">
      <w:pPr>
        <w:spacing w:line="360" w:lineRule="auto"/>
        <w:jc w:val="both"/>
        <w:rPr>
          <w:rFonts w:ascii="Times New Roman" w:eastAsia="Times New Roman" w:hAnsi="Times New Roman" w:cs="Times New Roman"/>
          <w:sz w:val="24"/>
          <w:szCs w:val="24"/>
        </w:rPr>
      </w:pPr>
      <w:r w:rsidRPr="00ED5972">
        <w:rPr>
          <w:rFonts w:ascii="Times New Roman" w:eastAsia="Times New Roman" w:hAnsi="Times New Roman" w:cs="Times New Roman"/>
          <w:sz w:val="24"/>
          <w:szCs w:val="24"/>
        </w:rPr>
        <w:t xml:space="preserve">Following this line of thought the present chapter adopts a corpus-assisted critical discourse </w:t>
      </w:r>
      <w:r w:rsidRPr="00DB490F">
        <w:rPr>
          <w:rFonts w:ascii="Times New Roman" w:eastAsia="Times New Roman" w:hAnsi="Times New Roman" w:cs="Times New Roman"/>
          <w:sz w:val="24"/>
          <w:szCs w:val="24"/>
        </w:rPr>
        <w:t>approach in order to address the connection between the environment, climate change an</w:t>
      </w:r>
      <w:r w:rsidRPr="00ED5972">
        <w:rPr>
          <w:rFonts w:ascii="Times New Roman" w:eastAsia="Times New Roman" w:hAnsi="Times New Roman" w:cs="Times New Roman"/>
          <w:sz w:val="24"/>
          <w:szCs w:val="24"/>
        </w:rPr>
        <w:t xml:space="preserve">d health as a complex interdiscursive interdependence which is subject to predictable variations over time. In </w:t>
      </w:r>
      <w:r w:rsidRPr="00D8573A">
        <w:rPr>
          <w:rFonts w:ascii="Times New Roman" w:eastAsia="Times New Roman" w:hAnsi="Times New Roman" w:cs="Times New Roman"/>
          <w:sz w:val="24"/>
          <w:szCs w:val="24"/>
        </w:rPr>
        <w:t xml:space="preserve">some cases, environmental, climate change and health discourses compete with other discourses, for example economic or development discourses; in other cases, they may be internally interwoven with </w:t>
      </w:r>
      <w:r w:rsidRPr="00ED5972">
        <w:rPr>
          <w:rFonts w:ascii="Times New Roman" w:eastAsia="Times New Roman" w:hAnsi="Times New Roman" w:cs="Times New Roman"/>
          <w:sz w:val="24"/>
          <w:szCs w:val="24"/>
        </w:rPr>
        <w:t xml:space="preserve">such discourses. For this reason, the notion of interdiscursivity is central to the study of the policies that aim at accomplishing common goals such as, green growth and transition towards full reliance on renewable energy. In other words, discourses may change or blend within a given </w:t>
      </w:r>
      <w:r w:rsidRPr="00D8573A">
        <w:rPr>
          <w:rFonts w:ascii="Times New Roman" w:eastAsia="Times New Roman" w:hAnsi="Times New Roman" w:cs="Times New Roman"/>
          <w:sz w:val="24"/>
          <w:szCs w:val="24"/>
        </w:rPr>
        <w:t>‘Discourse’, such as Discourses about legal health risks and public health finance with, for instance, Discourses about environmental sustainability (</w:t>
      </w:r>
      <w:r w:rsidRPr="00A207CD">
        <w:rPr>
          <w:rFonts w:ascii="Times New Roman" w:eastAsia="Times New Roman" w:hAnsi="Times New Roman" w:cs="Times New Roman"/>
          <w:sz w:val="24"/>
          <w:szCs w:val="24"/>
        </w:rPr>
        <w:t>Fairclough 2003). In fact, boundaries between discourses are porous (</w:t>
      </w:r>
      <w:proofErr w:type="spellStart"/>
      <w:r w:rsidRPr="00A207CD">
        <w:rPr>
          <w:rFonts w:ascii="Times New Roman" w:eastAsia="Times New Roman" w:hAnsi="Times New Roman" w:cs="Times New Roman"/>
          <w:sz w:val="24"/>
          <w:szCs w:val="24"/>
        </w:rPr>
        <w:t>Reisigl</w:t>
      </w:r>
      <w:proofErr w:type="spellEnd"/>
      <w:r w:rsidRPr="00A207CD">
        <w:rPr>
          <w:rFonts w:ascii="Times New Roman" w:eastAsia="Times New Roman" w:hAnsi="Times New Roman" w:cs="Times New Roman"/>
          <w:sz w:val="24"/>
          <w:szCs w:val="24"/>
        </w:rPr>
        <w:t xml:space="preserve"> and </w:t>
      </w:r>
      <w:proofErr w:type="spellStart"/>
      <w:r w:rsidRPr="00A207CD">
        <w:rPr>
          <w:rFonts w:ascii="Times New Roman" w:eastAsia="Times New Roman" w:hAnsi="Times New Roman" w:cs="Times New Roman"/>
          <w:sz w:val="24"/>
          <w:szCs w:val="24"/>
        </w:rPr>
        <w:t>Wodak</w:t>
      </w:r>
      <w:proofErr w:type="spellEnd"/>
      <w:r w:rsidRPr="00A207CD">
        <w:rPr>
          <w:rFonts w:ascii="Times New Roman" w:eastAsia="Times New Roman" w:hAnsi="Times New Roman" w:cs="Times New Roman"/>
          <w:sz w:val="24"/>
          <w:szCs w:val="24"/>
        </w:rPr>
        <w:t xml:space="preserve"> 2001: 89) and permeable, and are part of a broader discursive landscape. These broader discursive formations are critical to the question of whether and how a situation is understood, communicated and treated as an environmental or a health problem, particularly at governmental and/or supranational institutional levels. This also implies that the discursive connection between climate, the environment and health is not homogeneous. At one level, it implies looking into the ways in which climate and environmental health policies are related to everyday practices, to </w:t>
      </w:r>
      <w:r w:rsidRPr="00A207CD">
        <w:rPr>
          <w:rFonts w:ascii="Times New Roman" w:eastAsia="Times New Roman" w:hAnsi="Times New Roman" w:cs="Times New Roman"/>
          <w:sz w:val="24"/>
          <w:szCs w:val="24"/>
        </w:rPr>
        <w:lastRenderedPageBreak/>
        <w:t>consumption patterns and to the organization of infrastructures for basic needs, such as electricity, food, housing and mobility. Another fundamental level of analysis relates to the ways in which climate, environmental and health policies are intertwined with practices and institutions, and how they are constrained by a variety of cultural and political formations. Taking a critical discursive perspective allows one to understand how ‘health’, ‘nature’ and ‘the environment’ are continuously ‘produced’ and ‘reproduced’ through health and environmental policy making, planning, research and development as well as through everyday practices (</w:t>
      </w:r>
      <w:proofErr w:type="spellStart"/>
      <w:r w:rsidRPr="00A207CD">
        <w:rPr>
          <w:rFonts w:ascii="Times New Roman" w:eastAsia="Times New Roman" w:hAnsi="Times New Roman" w:cs="Times New Roman"/>
          <w:sz w:val="24"/>
          <w:szCs w:val="24"/>
        </w:rPr>
        <w:t>Feindt</w:t>
      </w:r>
      <w:proofErr w:type="spellEnd"/>
      <w:r w:rsidRPr="00A207CD">
        <w:rPr>
          <w:rFonts w:ascii="Times New Roman" w:eastAsia="Times New Roman" w:hAnsi="Times New Roman" w:cs="Times New Roman"/>
          <w:sz w:val="24"/>
          <w:szCs w:val="24"/>
        </w:rPr>
        <w:t xml:space="preserve"> and </w:t>
      </w:r>
      <w:proofErr w:type="spellStart"/>
      <w:r w:rsidRPr="00A207CD">
        <w:rPr>
          <w:rFonts w:ascii="Times New Roman" w:eastAsia="Times New Roman" w:hAnsi="Times New Roman" w:cs="Times New Roman"/>
          <w:sz w:val="24"/>
          <w:szCs w:val="24"/>
        </w:rPr>
        <w:t>Oels</w:t>
      </w:r>
      <w:proofErr w:type="spellEnd"/>
      <w:r w:rsidRPr="00A207CD">
        <w:rPr>
          <w:rFonts w:ascii="Times New Roman" w:eastAsia="Times New Roman" w:hAnsi="Times New Roman" w:cs="Times New Roman"/>
          <w:sz w:val="24"/>
          <w:szCs w:val="24"/>
        </w:rPr>
        <w:t xml:space="preserve"> 2005). </w:t>
      </w:r>
    </w:p>
    <w:p w14:paraId="01900D27" w14:textId="77777777" w:rsidR="00A31CC3" w:rsidRPr="00814262" w:rsidRDefault="00A31CC3" w:rsidP="00A31CC3">
      <w:pPr>
        <w:spacing w:line="360" w:lineRule="auto"/>
        <w:jc w:val="both"/>
        <w:rPr>
          <w:rFonts w:ascii="Times New Roman" w:eastAsia="Times New Roman" w:hAnsi="Times New Roman" w:cs="Times New Roman"/>
          <w:color w:val="FF0000"/>
          <w:sz w:val="24"/>
          <w:szCs w:val="24"/>
        </w:rPr>
      </w:pPr>
      <w:r w:rsidRPr="00A207CD">
        <w:rPr>
          <w:rFonts w:ascii="Times New Roman" w:eastAsia="Times New Roman" w:hAnsi="Times New Roman" w:cs="Times New Roman"/>
          <w:sz w:val="24"/>
          <w:szCs w:val="24"/>
        </w:rPr>
        <w:t>The purpose of the chapter is then to explore how the link between climate change,</w:t>
      </w:r>
      <w:r w:rsidRPr="00ED5972">
        <w:rPr>
          <w:rFonts w:ascii="Times New Roman" w:eastAsia="Times New Roman" w:hAnsi="Times New Roman" w:cs="Times New Roman"/>
          <w:sz w:val="24"/>
          <w:szCs w:val="24"/>
        </w:rPr>
        <w:t xml:space="preserve"> environment</w:t>
      </w:r>
      <w:r w:rsidRPr="00505AB8">
        <w:rPr>
          <w:rFonts w:ascii="Times New Roman" w:eastAsia="Times New Roman" w:hAnsi="Times New Roman" w:cs="Times New Roman"/>
          <w:sz w:val="24"/>
          <w:szCs w:val="24"/>
        </w:rPr>
        <w:t xml:space="preserve"> and health, perhaps </w:t>
      </w:r>
      <w:r w:rsidRPr="00ED5972">
        <w:rPr>
          <w:rFonts w:ascii="Times New Roman" w:eastAsia="Times New Roman" w:hAnsi="Times New Roman" w:cs="Times New Roman"/>
          <w:sz w:val="24"/>
          <w:szCs w:val="24"/>
        </w:rPr>
        <w:t>some of the most urgent and crucial issues of today’s public space, is linguistically and discursively articulated in public policy discourse. Indeed, climate and environmental policy-making is “deeply and inevitably political” (</w:t>
      </w:r>
      <w:proofErr w:type="spellStart"/>
      <w:r w:rsidRPr="00FA2912">
        <w:rPr>
          <w:rFonts w:ascii="Times New Roman" w:eastAsia="Times New Roman" w:hAnsi="Times New Roman" w:cs="Times New Roman"/>
          <w:sz w:val="24"/>
          <w:szCs w:val="24"/>
        </w:rPr>
        <w:t>Remling</w:t>
      </w:r>
      <w:proofErr w:type="spellEnd"/>
      <w:r w:rsidRPr="00FA2912">
        <w:rPr>
          <w:rFonts w:ascii="Times New Roman" w:eastAsia="Times New Roman" w:hAnsi="Times New Roman" w:cs="Times New Roman"/>
          <w:sz w:val="24"/>
          <w:szCs w:val="24"/>
        </w:rPr>
        <w:t xml:space="preserve"> 2018: 478)</w:t>
      </w:r>
      <w:r w:rsidRPr="00A207CD">
        <w:rPr>
          <w:rFonts w:ascii="Times New Roman" w:eastAsia="Times New Roman" w:hAnsi="Times New Roman" w:cs="Times New Roman"/>
          <w:sz w:val="24"/>
          <w:szCs w:val="24"/>
        </w:rPr>
        <w:t xml:space="preserve"> as it is not simply a matter of operationalising strategies, but also involving</w:t>
      </w:r>
      <w:r w:rsidRPr="00ED5972">
        <w:rPr>
          <w:rFonts w:ascii="Times New Roman" w:eastAsia="Times New Roman" w:hAnsi="Times New Roman" w:cs="Times New Roman"/>
          <w:sz w:val="24"/>
          <w:szCs w:val="24"/>
        </w:rPr>
        <w:t xml:space="preserve"> decision-making as a first step. By providing an overview of the nexus between clima</w:t>
      </w:r>
      <w:r w:rsidRPr="00A42339">
        <w:rPr>
          <w:rFonts w:ascii="Times New Roman" w:eastAsia="Times New Roman" w:hAnsi="Times New Roman" w:cs="Times New Roman"/>
          <w:sz w:val="24"/>
          <w:szCs w:val="24"/>
        </w:rPr>
        <w:t>te</w:t>
      </w:r>
      <w:r w:rsidRPr="008923B5">
        <w:rPr>
          <w:rFonts w:ascii="Times New Roman" w:eastAsia="Times New Roman" w:hAnsi="Times New Roman" w:cs="Times New Roman"/>
          <w:sz w:val="24"/>
          <w:szCs w:val="24"/>
        </w:rPr>
        <w:t xml:space="preserve"> change, environment and health in the public space, it will focus on an empirical case study of EU policy and its com</w:t>
      </w:r>
      <w:r w:rsidRPr="00BE1DA1">
        <w:rPr>
          <w:rFonts w:ascii="Times New Roman" w:eastAsia="Times New Roman" w:hAnsi="Times New Roman" w:cs="Times New Roman"/>
          <w:sz w:val="24"/>
          <w:szCs w:val="24"/>
        </w:rPr>
        <w:t>munication over the last decade. In this we move from the assumption that policy analysis “includes but extends beyond law</w:t>
      </w:r>
      <w:r w:rsidRPr="00AC15D8">
        <w:rPr>
          <w:rFonts w:ascii="Times New Roman" w:eastAsia="Times New Roman" w:hAnsi="Times New Roman" w:cs="Times New Roman"/>
          <w:sz w:val="24"/>
          <w:szCs w:val="24"/>
        </w:rPr>
        <w:t>s and legislat</w:t>
      </w:r>
      <w:r w:rsidRPr="00814262">
        <w:rPr>
          <w:rFonts w:ascii="Times New Roman" w:eastAsia="Times New Roman" w:hAnsi="Times New Roman" w:cs="Times New Roman"/>
          <w:sz w:val="24"/>
          <w:szCs w:val="24"/>
        </w:rPr>
        <w:t>ion” (</w:t>
      </w:r>
      <w:proofErr w:type="spellStart"/>
      <w:r w:rsidRPr="00FA2912">
        <w:rPr>
          <w:rFonts w:ascii="Times New Roman" w:eastAsia="Times New Roman" w:hAnsi="Times New Roman" w:cs="Times New Roman"/>
          <w:sz w:val="24"/>
          <w:szCs w:val="24"/>
        </w:rPr>
        <w:t>Bacchi</w:t>
      </w:r>
      <w:proofErr w:type="spellEnd"/>
      <w:r w:rsidRPr="00FA2912">
        <w:rPr>
          <w:rFonts w:ascii="Times New Roman" w:eastAsia="Times New Roman" w:hAnsi="Times New Roman" w:cs="Times New Roman"/>
          <w:sz w:val="24"/>
          <w:szCs w:val="24"/>
        </w:rPr>
        <w:t xml:space="preserve"> 2009; 2016</w:t>
      </w:r>
      <w:r w:rsidRPr="00A207CD">
        <w:rPr>
          <w:rFonts w:ascii="Times New Roman" w:eastAsia="Times New Roman" w:hAnsi="Times New Roman" w:cs="Times New Roman"/>
          <w:sz w:val="24"/>
          <w:szCs w:val="24"/>
        </w:rPr>
        <w:t>), covering not only binding documents (e.g. directives, regulations,</w:t>
      </w:r>
      <w:r w:rsidRPr="008923B5">
        <w:rPr>
          <w:rFonts w:ascii="Times New Roman" w:eastAsia="Times New Roman" w:hAnsi="Times New Roman" w:cs="Times New Roman"/>
          <w:sz w:val="24"/>
          <w:szCs w:val="24"/>
        </w:rPr>
        <w:t xml:space="preserve"> recommendations, (also in the form of Green and White </w:t>
      </w:r>
      <w:r w:rsidRPr="00A42339">
        <w:rPr>
          <w:rFonts w:ascii="Times New Roman" w:eastAsia="Times New Roman" w:hAnsi="Times New Roman" w:cs="Times New Roman"/>
          <w:sz w:val="24"/>
          <w:szCs w:val="24"/>
        </w:rPr>
        <w:t xml:space="preserve">Papers) but also the bulk of text and talk that constitute institutional communication, which has acquired </w:t>
      </w:r>
      <w:r w:rsidRPr="008923B5">
        <w:rPr>
          <w:rFonts w:ascii="Times New Roman" w:eastAsia="Times New Roman" w:hAnsi="Times New Roman" w:cs="Times New Roman"/>
          <w:sz w:val="24"/>
          <w:szCs w:val="24"/>
        </w:rPr>
        <w:t>increasing importance in reinforcing linkages between institutions and citizens (</w:t>
      </w:r>
      <w:r w:rsidRPr="00FA2912">
        <w:rPr>
          <w:rFonts w:ascii="Times New Roman" w:eastAsia="Times New Roman" w:hAnsi="Times New Roman" w:cs="Times New Roman"/>
          <w:sz w:val="24"/>
          <w:szCs w:val="24"/>
        </w:rPr>
        <w:t xml:space="preserve">Bee 2010; Cap and </w:t>
      </w:r>
      <w:proofErr w:type="spellStart"/>
      <w:r w:rsidRPr="00FA2912">
        <w:rPr>
          <w:rFonts w:ascii="Times New Roman" w:eastAsia="Times New Roman" w:hAnsi="Times New Roman" w:cs="Times New Roman"/>
          <w:sz w:val="24"/>
          <w:szCs w:val="24"/>
        </w:rPr>
        <w:t>Okulska</w:t>
      </w:r>
      <w:proofErr w:type="spellEnd"/>
      <w:r w:rsidRPr="00FA2912">
        <w:rPr>
          <w:rFonts w:ascii="Times New Roman" w:eastAsia="Times New Roman" w:hAnsi="Times New Roman" w:cs="Times New Roman"/>
          <w:color w:val="FF0000"/>
          <w:sz w:val="24"/>
          <w:szCs w:val="24"/>
        </w:rPr>
        <w:t xml:space="preserve"> </w:t>
      </w:r>
      <w:r w:rsidRPr="00FA2912">
        <w:rPr>
          <w:rFonts w:ascii="Times New Roman" w:eastAsia="Times New Roman" w:hAnsi="Times New Roman" w:cs="Times New Roman"/>
          <w:sz w:val="24"/>
          <w:szCs w:val="24"/>
        </w:rPr>
        <w:t>2013</w:t>
      </w:r>
      <w:r w:rsidRPr="00A207CD">
        <w:rPr>
          <w:rFonts w:ascii="Times New Roman" w:eastAsia="Times New Roman" w:hAnsi="Times New Roman" w:cs="Times New Roman"/>
          <w:sz w:val="24"/>
          <w:szCs w:val="24"/>
        </w:rPr>
        <w:t>). The chapter, therefore, firstly describes the context of the research by presenting the EU case and our approach to policy discourse and communication, with particular reference to the environmental domain. Section 3 will then present our methods and the composition of our corpus. Sections 4 and 5 will discuss the results of the analysis of environmental policy documents of the European Commission with the aim of reaching a deeper understanding of recent developments in the environmental policy discourse, with a</w:t>
      </w:r>
      <w:r w:rsidRPr="00BE1DA1">
        <w:rPr>
          <w:rFonts w:ascii="Times New Roman" w:eastAsia="Times New Roman" w:hAnsi="Times New Roman" w:cs="Times New Roman"/>
          <w:sz w:val="24"/>
          <w:szCs w:val="24"/>
        </w:rPr>
        <w:t xml:space="preserve"> focus on health issues and its communication to wider </w:t>
      </w:r>
      <w:r w:rsidRPr="00AC15D8">
        <w:rPr>
          <w:rFonts w:ascii="Times New Roman" w:eastAsia="Times New Roman" w:hAnsi="Times New Roman" w:cs="Times New Roman"/>
          <w:sz w:val="24"/>
          <w:szCs w:val="24"/>
        </w:rPr>
        <w:t>audiences</w:t>
      </w:r>
      <w:r w:rsidRPr="00814262">
        <w:rPr>
          <w:rFonts w:ascii="Times New Roman" w:eastAsia="Times New Roman" w:hAnsi="Times New Roman" w:cs="Times New Roman"/>
          <w:sz w:val="24"/>
          <w:szCs w:val="24"/>
        </w:rPr>
        <w:t>. Some conclusions will be provided in the last section.</w:t>
      </w:r>
    </w:p>
    <w:p w14:paraId="0E5538BC" w14:textId="77777777" w:rsidR="00A31CC3" w:rsidRPr="00BE1DA1" w:rsidRDefault="00A31CC3" w:rsidP="00A31CC3">
      <w:pPr>
        <w:spacing w:line="360" w:lineRule="auto"/>
        <w:rPr>
          <w:rFonts w:ascii="Times New Roman" w:eastAsia="Times New Roman" w:hAnsi="Times New Roman" w:cs="Times New Roman"/>
          <w:b/>
          <w:sz w:val="24"/>
          <w:szCs w:val="24"/>
        </w:rPr>
      </w:pPr>
    </w:p>
    <w:p w14:paraId="766E342D" w14:textId="77777777" w:rsidR="00A31CC3" w:rsidRPr="00814262" w:rsidRDefault="00A31CC3" w:rsidP="00A31CC3">
      <w:pPr>
        <w:spacing w:line="360" w:lineRule="auto"/>
        <w:rPr>
          <w:rFonts w:ascii="Times New Roman" w:eastAsia="Times New Roman" w:hAnsi="Times New Roman" w:cs="Times New Roman"/>
          <w:b/>
          <w:color w:val="FF0000"/>
          <w:sz w:val="24"/>
          <w:szCs w:val="24"/>
        </w:rPr>
      </w:pPr>
      <w:r w:rsidRPr="00AC15D8">
        <w:rPr>
          <w:rFonts w:ascii="Times New Roman" w:eastAsia="Times New Roman" w:hAnsi="Times New Roman" w:cs="Times New Roman"/>
          <w:b/>
          <w:sz w:val="24"/>
          <w:szCs w:val="24"/>
        </w:rPr>
        <w:t xml:space="preserve">2. </w:t>
      </w:r>
      <w:r w:rsidRPr="00814262">
        <w:rPr>
          <w:rFonts w:ascii="Times New Roman" w:eastAsia="Times New Roman" w:hAnsi="Times New Roman" w:cs="Times New Roman"/>
          <w:b/>
          <w:sz w:val="24"/>
          <w:szCs w:val="24"/>
        </w:rPr>
        <w:t xml:space="preserve">EU Institutional discourse and public policy genres: the environmental and climate change case </w:t>
      </w:r>
    </w:p>
    <w:p w14:paraId="7CD48A4F" w14:textId="77777777" w:rsidR="00A31CC3" w:rsidRPr="00A207CD" w:rsidRDefault="00A31CC3" w:rsidP="00A31CC3">
      <w:pPr>
        <w:spacing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t>Discourse is a constitutive aspect of political institutions. Political institutions promote and legitimize their values, interests and concerns through discourse. Moreover, discourse is one of the principal means through which members of institutions create a coherent social reality and identity (</w:t>
      </w:r>
      <w:r w:rsidRPr="00FA2912">
        <w:rPr>
          <w:rFonts w:ascii="Times New Roman" w:eastAsia="Times New Roman" w:hAnsi="Times New Roman" w:cs="Times New Roman"/>
          <w:sz w:val="24"/>
          <w:szCs w:val="24"/>
        </w:rPr>
        <w:t xml:space="preserve">Fairclough, </w:t>
      </w:r>
      <w:r w:rsidRPr="00FA2912">
        <w:rPr>
          <w:rFonts w:ascii="Times New Roman" w:eastAsia="Times New Roman" w:hAnsi="Times New Roman" w:cs="Times New Roman"/>
          <w:sz w:val="24"/>
          <w:szCs w:val="24"/>
        </w:rPr>
        <w:lastRenderedPageBreak/>
        <w:t xml:space="preserve">2003; </w:t>
      </w:r>
      <w:proofErr w:type="spellStart"/>
      <w:r w:rsidRPr="00FA2912">
        <w:rPr>
          <w:rFonts w:ascii="Times New Roman" w:eastAsia="Times New Roman" w:hAnsi="Times New Roman" w:cs="Times New Roman"/>
          <w:sz w:val="24"/>
          <w:szCs w:val="24"/>
        </w:rPr>
        <w:t>Mumby</w:t>
      </w:r>
      <w:proofErr w:type="spellEnd"/>
      <w:r w:rsidRPr="00FA2912">
        <w:rPr>
          <w:rFonts w:ascii="Times New Roman" w:eastAsia="Times New Roman" w:hAnsi="Times New Roman" w:cs="Times New Roman"/>
          <w:sz w:val="24"/>
          <w:szCs w:val="24"/>
        </w:rPr>
        <w:t xml:space="preserve"> and Clair, 1997;Iedema and </w:t>
      </w:r>
      <w:proofErr w:type="spellStart"/>
      <w:r w:rsidRPr="00FA2912">
        <w:rPr>
          <w:rFonts w:ascii="Times New Roman" w:eastAsia="Times New Roman" w:hAnsi="Times New Roman" w:cs="Times New Roman"/>
          <w:sz w:val="24"/>
          <w:szCs w:val="24"/>
        </w:rPr>
        <w:t>Wodak</w:t>
      </w:r>
      <w:proofErr w:type="spellEnd"/>
      <w:r w:rsidRPr="00FA2912">
        <w:rPr>
          <w:rFonts w:ascii="Times New Roman" w:eastAsia="Times New Roman" w:hAnsi="Times New Roman" w:cs="Times New Roman"/>
          <w:sz w:val="24"/>
          <w:szCs w:val="24"/>
        </w:rPr>
        <w:t xml:space="preserve"> 1999</w:t>
      </w:r>
      <w:r w:rsidRPr="00A207CD">
        <w:rPr>
          <w:rFonts w:ascii="Times New Roman" w:eastAsia="Times New Roman" w:hAnsi="Times New Roman" w:cs="Times New Roman"/>
          <w:sz w:val="24"/>
          <w:szCs w:val="24"/>
        </w:rPr>
        <w:t>). The analysis of climate, environmental and health policies of political institutions of the European Union in the last decade is particularly complex due to the fluid and many-voiced articulation of its political space and representation. The pluralistic nature of the EU as an international and intergovernmental actor together with its complex institutional machinery poses a formidable challenge to the understanding of how it frames its policies and related discourses and actions in order to exert influence over its internal and external environment (</w:t>
      </w:r>
      <w:r w:rsidRPr="00BE1DA1">
        <w:rPr>
          <w:rFonts w:ascii="Times New Roman" w:eastAsia="Times New Roman" w:hAnsi="Times New Roman" w:cs="Times New Roman"/>
          <w:sz w:val="24"/>
          <w:szCs w:val="24"/>
        </w:rPr>
        <w:t xml:space="preserve">Carta and </w:t>
      </w:r>
      <w:proofErr w:type="spellStart"/>
      <w:r w:rsidRPr="00BE1DA1">
        <w:rPr>
          <w:rFonts w:ascii="Times New Roman" w:eastAsia="Times New Roman" w:hAnsi="Times New Roman" w:cs="Times New Roman"/>
          <w:sz w:val="24"/>
          <w:szCs w:val="24"/>
        </w:rPr>
        <w:t>Wodak</w:t>
      </w:r>
      <w:proofErr w:type="spellEnd"/>
      <w:r w:rsidRPr="00BE1DA1">
        <w:rPr>
          <w:rFonts w:ascii="Times New Roman" w:eastAsia="Times New Roman" w:hAnsi="Times New Roman" w:cs="Times New Roman"/>
          <w:sz w:val="24"/>
          <w:szCs w:val="24"/>
        </w:rPr>
        <w:t xml:space="preserve"> 2015: 1-17</w:t>
      </w:r>
      <w:r w:rsidRPr="00A207CD">
        <w:rPr>
          <w:rFonts w:ascii="Times New Roman" w:eastAsia="Times New Roman" w:hAnsi="Times New Roman" w:cs="Times New Roman"/>
          <w:sz w:val="24"/>
          <w:szCs w:val="24"/>
        </w:rPr>
        <w:t xml:space="preserve">; </w:t>
      </w:r>
      <w:r w:rsidRPr="00BE1DA1">
        <w:rPr>
          <w:rFonts w:ascii="Times New Roman" w:eastAsia="Times New Roman" w:hAnsi="Times New Roman" w:cs="Times New Roman"/>
          <w:sz w:val="24"/>
          <w:szCs w:val="24"/>
        </w:rPr>
        <w:t xml:space="preserve">Selin and </w:t>
      </w:r>
      <w:proofErr w:type="spellStart"/>
      <w:r w:rsidRPr="00BE1DA1">
        <w:rPr>
          <w:rFonts w:ascii="Times New Roman" w:eastAsia="Times New Roman" w:hAnsi="Times New Roman" w:cs="Times New Roman"/>
          <w:sz w:val="24"/>
          <w:szCs w:val="24"/>
        </w:rPr>
        <w:t>VanDeveer</w:t>
      </w:r>
      <w:proofErr w:type="spellEnd"/>
      <w:r w:rsidRPr="00BE1DA1">
        <w:rPr>
          <w:rFonts w:ascii="Times New Roman" w:eastAsia="Times New Roman" w:hAnsi="Times New Roman" w:cs="Times New Roman"/>
          <w:sz w:val="24"/>
          <w:szCs w:val="24"/>
        </w:rPr>
        <w:t xml:space="preserve"> 2015)</w:t>
      </w:r>
      <w:r w:rsidRPr="00A207CD">
        <w:rPr>
          <w:rFonts w:ascii="Times New Roman" w:eastAsia="Times New Roman" w:hAnsi="Times New Roman" w:cs="Times New Roman"/>
          <w:sz w:val="24"/>
          <w:szCs w:val="24"/>
        </w:rPr>
        <w:t xml:space="preserve">. As Carta and </w:t>
      </w:r>
      <w:proofErr w:type="spellStart"/>
      <w:r w:rsidRPr="00A207CD">
        <w:rPr>
          <w:rFonts w:ascii="Times New Roman" w:eastAsia="Times New Roman" w:hAnsi="Times New Roman" w:cs="Times New Roman"/>
          <w:sz w:val="24"/>
          <w:szCs w:val="24"/>
        </w:rPr>
        <w:t>Wodak</w:t>
      </w:r>
      <w:proofErr w:type="spellEnd"/>
      <w:r w:rsidRPr="00A207CD">
        <w:rPr>
          <w:rFonts w:ascii="Times New Roman" w:eastAsia="Times New Roman" w:hAnsi="Times New Roman" w:cs="Times New Roman"/>
          <w:sz w:val="24"/>
          <w:szCs w:val="24"/>
        </w:rPr>
        <w:t xml:space="preserve"> note, “Within the EU, all institutions represent relevant EU public actors, whether on the ground of territorial (e.g. national) or functional (e.g. the European Commission or the European External Action Service) representativeness” (ibid: 2). </w:t>
      </w:r>
    </w:p>
    <w:p w14:paraId="00CAE6C6" w14:textId="77777777" w:rsidR="00A31CC3" w:rsidRPr="00A207CD" w:rsidRDefault="00A31CC3" w:rsidP="00A31CC3">
      <w:pPr>
        <w:spacing w:line="360" w:lineRule="auto"/>
        <w:jc w:val="both"/>
        <w:rPr>
          <w:rFonts w:ascii="Times New Roman" w:eastAsia="Times New Roman" w:hAnsi="Times New Roman" w:cs="Times New Roman"/>
          <w:sz w:val="24"/>
          <w:szCs w:val="24"/>
        </w:rPr>
      </w:pPr>
      <w:r w:rsidRPr="00A207CD">
        <w:rPr>
          <w:rFonts w:ascii="Times New Roman" w:eastAsia="Times New Roman" w:hAnsi="Times New Roman" w:cs="Times New Roman"/>
          <w:sz w:val="24"/>
          <w:szCs w:val="24"/>
        </w:rPr>
        <w:t>Hence, the European Union has been criticised for its institutional fragmentation which results in a poorly defined super-ordinate category</w:t>
      </w:r>
      <w:r w:rsidRPr="00BE1DA1">
        <w:rPr>
          <w:rFonts w:ascii="Times New Roman" w:eastAsia="Times New Roman" w:hAnsi="Times New Roman" w:cs="Times New Roman"/>
          <w:sz w:val="24"/>
          <w:szCs w:val="24"/>
        </w:rPr>
        <w:t xml:space="preserve"> lacking clear-cut “representativeness” with a consequent </w:t>
      </w:r>
      <w:proofErr w:type="spellStart"/>
      <w:r w:rsidRPr="00BE1DA1">
        <w:rPr>
          <w:rFonts w:ascii="Times New Roman" w:eastAsia="Times New Roman" w:hAnsi="Times New Roman" w:cs="Times New Roman"/>
          <w:sz w:val="24"/>
          <w:szCs w:val="24"/>
        </w:rPr>
        <w:t>depoliticisation</w:t>
      </w:r>
      <w:proofErr w:type="spellEnd"/>
      <w:r w:rsidRPr="00BE1DA1">
        <w:rPr>
          <w:rFonts w:ascii="Times New Roman" w:eastAsia="Times New Roman" w:hAnsi="Times New Roman" w:cs="Times New Roman"/>
          <w:sz w:val="24"/>
          <w:szCs w:val="24"/>
        </w:rPr>
        <w:t xml:space="preserve"> of voters (</w:t>
      </w:r>
      <w:r w:rsidRPr="00020287">
        <w:rPr>
          <w:rFonts w:ascii="Times New Roman" w:eastAsia="Times New Roman" w:hAnsi="Times New Roman" w:cs="Times New Roman"/>
          <w:sz w:val="24"/>
          <w:szCs w:val="24"/>
        </w:rPr>
        <w:t xml:space="preserve">Carta and </w:t>
      </w:r>
      <w:proofErr w:type="spellStart"/>
      <w:r w:rsidRPr="00BE1DA1">
        <w:rPr>
          <w:rFonts w:ascii="Times New Roman" w:eastAsia="Times New Roman" w:hAnsi="Times New Roman" w:cs="Times New Roman"/>
          <w:sz w:val="24"/>
          <w:szCs w:val="24"/>
        </w:rPr>
        <w:t>Wodak</w:t>
      </w:r>
      <w:proofErr w:type="spellEnd"/>
      <w:r w:rsidRPr="00BE1DA1">
        <w:rPr>
          <w:rFonts w:ascii="Times New Roman" w:eastAsia="Times New Roman" w:hAnsi="Times New Roman" w:cs="Times New Roman"/>
          <w:sz w:val="24"/>
          <w:szCs w:val="24"/>
        </w:rPr>
        <w:t xml:space="preserve"> 2015</w:t>
      </w:r>
      <w:r w:rsidRPr="00A207CD">
        <w:rPr>
          <w:rFonts w:ascii="Times New Roman" w:eastAsia="Times New Roman" w:hAnsi="Times New Roman" w:cs="Times New Roman"/>
          <w:sz w:val="24"/>
          <w:szCs w:val="24"/>
        </w:rPr>
        <w:t>). Yet,</w:t>
      </w:r>
      <w:r w:rsidRPr="00BE1DA1">
        <w:rPr>
          <w:rFonts w:ascii="Times New Roman" w:eastAsia="Times New Roman" w:hAnsi="Times New Roman" w:cs="Times New Roman"/>
          <w:sz w:val="24"/>
          <w:szCs w:val="24"/>
        </w:rPr>
        <w:t xml:space="preserve"> it may be argued that EU functional institutions such as the European Council, the European Commission and the Council of the European Union have undergone a series of phases of identity construction and representation which have become most evident in recent years in policies, measures and actions. In order to speak with one voice and to find and communicate a clearly defined identity (Carta 2015), EU institutions have invested in ‘distinctive’ political strategies and policies which set its political agenda as different from other intergovernmental institutions. </w:t>
      </w:r>
      <w:bookmarkStart w:id="0" w:name="_Hlk85965375"/>
      <w:r w:rsidRPr="00020287">
        <w:rPr>
          <w:rFonts w:ascii="Times New Roman" w:eastAsia="Times New Roman" w:hAnsi="Times New Roman" w:cs="Times New Roman"/>
          <w:sz w:val="24"/>
          <w:szCs w:val="24"/>
        </w:rPr>
        <w:t>Articulated in a variety of policy-related genres, the EU rhetoric on the environment and climate change is an example of the Union’s international discourse, which relies strongly on discursive frameworks of international and global politics of climate change (</w:t>
      </w:r>
      <w:proofErr w:type="spellStart"/>
      <w:r w:rsidRPr="00020287">
        <w:rPr>
          <w:rFonts w:ascii="Times New Roman" w:eastAsia="Times New Roman" w:hAnsi="Times New Roman" w:cs="Times New Roman"/>
          <w:sz w:val="24"/>
          <w:szCs w:val="24"/>
        </w:rPr>
        <w:t>Krzyzanowski</w:t>
      </w:r>
      <w:proofErr w:type="spellEnd"/>
      <w:r w:rsidRPr="00020287">
        <w:rPr>
          <w:rFonts w:ascii="Times New Roman" w:eastAsia="Times New Roman" w:hAnsi="Times New Roman" w:cs="Times New Roman"/>
          <w:sz w:val="24"/>
          <w:szCs w:val="24"/>
        </w:rPr>
        <w:t xml:space="preserve"> 2015</w:t>
      </w:r>
      <w:bookmarkEnd w:id="0"/>
      <w:r w:rsidRPr="00020287">
        <w:rPr>
          <w:rFonts w:ascii="Times New Roman" w:eastAsia="Times New Roman" w:hAnsi="Times New Roman" w:cs="Times New Roman"/>
          <w:sz w:val="24"/>
          <w:szCs w:val="24"/>
        </w:rPr>
        <w:t xml:space="preserve">). For instance, </w:t>
      </w:r>
      <w:r w:rsidRPr="00A207CD">
        <w:rPr>
          <w:rFonts w:ascii="Times New Roman" w:eastAsia="Times New Roman" w:hAnsi="Times New Roman" w:cs="Times New Roman"/>
          <w:sz w:val="24"/>
          <w:szCs w:val="24"/>
        </w:rPr>
        <w:t>the European Union has described itself as the most progressive global player and multilateral actor endowed in a civilising mission mostly focused on climate change, especially since 2015, when the Paris agreement was signed by 195 nations belonging to the United Nations Framework Convention on Climate Change (UNFCCC). The agreement was defined as “an historic agreement to combat climate change and unleash actions and investment towards a low carbon, resilient and sustainable future”</w:t>
      </w:r>
      <w:r w:rsidRPr="00A207CD">
        <w:rPr>
          <w:sz w:val="20"/>
          <w:szCs w:val="20"/>
        </w:rPr>
        <w:t xml:space="preserve"> </w:t>
      </w:r>
      <w:r w:rsidRPr="00FA2912">
        <w:rPr>
          <w:rFonts w:ascii="Times New Roman" w:hAnsi="Times New Roman" w:cs="Times New Roman"/>
          <w:sz w:val="24"/>
          <w:szCs w:val="24"/>
        </w:rPr>
        <w:t>(UN Climate Change Newsroom, 2015)</w:t>
      </w:r>
      <w:r w:rsidRPr="00FA2912">
        <w:rPr>
          <w:rFonts w:ascii="Times New Roman" w:eastAsia="Times New Roman" w:hAnsi="Times New Roman" w:cs="Times New Roman"/>
          <w:sz w:val="24"/>
          <w:szCs w:val="24"/>
        </w:rPr>
        <w:t>.</w:t>
      </w:r>
      <w:r w:rsidRPr="00A207CD">
        <w:rPr>
          <w:rFonts w:ascii="Times New Roman" w:eastAsia="Times New Roman" w:hAnsi="Times New Roman" w:cs="Times New Roman"/>
          <w:sz w:val="24"/>
          <w:szCs w:val="24"/>
        </w:rPr>
        <w:t xml:space="preserve"> More specifically, we argue that identity construction and representation of the European Union is most evident in the analysis of environmental and climate change policy documents and in their </w:t>
      </w:r>
      <w:proofErr w:type="spellStart"/>
      <w:r w:rsidRPr="00A207CD">
        <w:rPr>
          <w:rFonts w:ascii="Times New Roman" w:eastAsia="Times New Roman" w:hAnsi="Times New Roman" w:cs="Times New Roman"/>
          <w:sz w:val="24"/>
          <w:szCs w:val="24"/>
        </w:rPr>
        <w:t>recontextualisation</w:t>
      </w:r>
      <w:proofErr w:type="spellEnd"/>
      <w:r w:rsidRPr="00A207CD">
        <w:rPr>
          <w:rFonts w:ascii="Times New Roman" w:eastAsia="Times New Roman" w:hAnsi="Times New Roman" w:cs="Times New Roman"/>
          <w:sz w:val="24"/>
          <w:szCs w:val="24"/>
        </w:rPr>
        <w:t xml:space="preserve"> in the European Commission’s communicative genres such as speeches, press statements and conferences. </w:t>
      </w:r>
    </w:p>
    <w:p w14:paraId="0303E6F7" w14:textId="77777777" w:rsidR="00A31CC3" w:rsidRPr="00020287" w:rsidRDefault="00A31CC3" w:rsidP="00A31CC3">
      <w:pPr>
        <w:spacing w:line="360" w:lineRule="auto"/>
        <w:jc w:val="both"/>
        <w:rPr>
          <w:rFonts w:ascii="Times New Roman" w:eastAsia="Times New Roman" w:hAnsi="Times New Roman" w:cs="Times New Roman"/>
          <w:sz w:val="24"/>
          <w:szCs w:val="24"/>
        </w:rPr>
      </w:pPr>
      <w:r w:rsidRPr="00A207CD">
        <w:rPr>
          <w:rFonts w:ascii="Times New Roman" w:eastAsia="Times New Roman" w:hAnsi="Times New Roman" w:cs="Times New Roman"/>
          <w:sz w:val="24"/>
          <w:szCs w:val="24"/>
        </w:rPr>
        <w:t xml:space="preserve">The Commission’s institutional structure influences the ideation of, and discourses about, concepts and terms which are negotiated in policy-making through argumentation and therefore represent both </w:t>
      </w:r>
      <w:r w:rsidRPr="00A207CD">
        <w:rPr>
          <w:rFonts w:ascii="Times New Roman" w:eastAsia="Times New Roman" w:hAnsi="Times New Roman" w:cs="Times New Roman"/>
          <w:sz w:val="24"/>
          <w:szCs w:val="24"/>
        </w:rPr>
        <w:lastRenderedPageBreak/>
        <w:t xml:space="preserve">the cooperative and competing positions which pave the way to policy documents </w:t>
      </w:r>
      <w:r w:rsidRPr="00020287">
        <w:rPr>
          <w:rFonts w:ascii="Times New Roman" w:eastAsia="Times New Roman" w:hAnsi="Times New Roman" w:cs="Times New Roman"/>
          <w:sz w:val="24"/>
          <w:szCs w:val="24"/>
        </w:rPr>
        <w:t>(</w:t>
      </w:r>
      <w:proofErr w:type="spellStart"/>
      <w:r w:rsidRPr="00020287">
        <w:rPr>
          <w:rFonts w:ascii="Times New Roman" w:eastAsia="Times New Roman" w:hAnsi="Times New Roman" w:cs="Times New Roman"/>
          <w:sz w:val="24"/>
          <w:szCs w:val="24"/>
        </w:rPr>
        <w:t>Oberhuber</w:t>
      </w:r>
      <w:proofErr w:type="spellEnd"/>
      <w:r w:rsidRPr="00020287">
        <w:rPr>
          <w:rFonts w:ascii="Times New Roman" w:eastAsia="Times New Roman" w:hAnsi="Times New Roman" w:cs="Times New Roman"/>
          <w:sz w:val="24"/>
          <w:szCs w:val="24"/>
        </w:rPr>
        <w:t xml:space="preserve"> and </w:t>
      </w:r>
      <w:proofErr w:type="spellStart"/>
      <w:r w:rsidRPr="00020287">
        <w:rPr>
          <w:rFonts w:ascii="Times New Roman" w:eastAsia="Times New Roman" w:hAnsi="Times New Roman" w:cs="Times New Roman"/>
          <w:sz w:val="24"/>
          <w:szCs w:val="24"/>
        </w:rPr>
        <w:t>Kryzanowski</w:t>
      </w:r>
      <w:proofErr w:type="spellEnd"/>
      <w:r w:rsidRPr="00020287">
        <w:rPr>
          <w:rFonts w:ascii="Times New Roman" w:eastAsia="Times New Roman" w:hAnsi="Times New Roman" w:cs="Times New Roman"/>
          <w:sz w:val="24"/>
          <w:szCs w:val="24"/>
        </w:rPr>
        <w:t xml:space="preserve"> 2007</w:t>
      </w:r>
      <w:r w:rsidRPr="00A207CD">
        <w:rPr>
          <w:rFonts w:ascii="Times New Roman" w:eastAsia="Times New Roman" w:hAnsi="Times New Roman" w:cs="Times New Roman"/>
          <w:sz w:val="24"/>
          <w:szCs w:val="24"/>
        </w:rPr>
        <w:t xml:space="preserve">; </w:t>
      </w:r>
      <w:r w:rsidRPr="00020287">
        <w:rPr>
          <w:rFonts w:ascii="Times New Roman" w:eastAsia="Times New Roman" w:hAnsi="Times New Roman" w:cs="Times New Roman"/>
          <w:sz w:val="24"/>
          <w:szCs w:val="24"/>
        </w:rPr>
        <w:t xml:space="preserve">Cap and </w:t>
      </w:r>
      <w:proofErr w:type="spellStart"/>
      <w:r w:rsidRPr="00020287">
        <w:rPr>
          <w:rFonts w:ascii="Times New Roman" w:eastAsia="Times New Roman" w:hAnsi="Times New Roman" w:cs="Times New Roman"/>
          <w:sz w:val="24"/>
          <w:szCs w:val="24"/>
        </w:rPr>
        <w:t>Okulska</w:t>
      </w:r>
      <w:proofErr w:type="spellEnd"/>
      <w:r w:rsidRPr="00020287">
        <w:rPr>
          <w:rFonts w:ascii="Times New Roman" w:eastAsia="Times New Roman" w:hAnsi="Times New Roman" w:cs="Times New Roman"/>
          <w:sz w:val="24"/>
          <w:szCs w:val="24"/>
        </w:rPr>
        <w:t xml:space="preserve"> 2013</w:t>
      </w:r>
      <w:r w:rsidRPr="00A207CD">
        <w:rPr>
          <w:rFonts w:ascii="Times New Roman" w:eastAsia="Times New Roman" w:hAnsi="Times New Roman" w:cs="Times New Roman"/>
          <w:sz w:val="24"/>
          <w:szCs w:val="24"/>
        </w:rPr>
        <w:t xml:space="preserve">). As </w:t>
      </w:r>
      <w:r w:rsidRPr="00A207CD">
        <w:rPr>
          <w:rFonts w:ascii="Times New Roman" w:hAnsi="Times New Roman" w:cs="Times New Roman"/>
          <w:sz w:val="24"/>
          <w:szCs w:val="24"/>
          <w:shd w:val="clear" w:color="auto" w:fill="FFFFFF"/>
        </w:rPr>
        <w:t>the most independent European supra</w:t>
      </w:r>
      <w:r w:rsidRPr="00FA2912">
        <w:rPr>
          <w:rFonts w:ascii="Times New Roman" w:hAnsi="Times New Roman" w:cs="Times New Roman"/>
          <w:sz w:val="24"/>
          <w:szCs w:val="24"/>
          <w:shd w:val="clear" w:color="auto" w:fill="FFFFFF"/>
        </w:rPr>
        <w:t>national authority and as the executive branch of the</w:t>
      </w:r>
      <w:r w:rsidRPr="00814262">
        <w:rPr>
          <w:rFonts w:ascii="Times New Roman" w:hAnsi="Times New Roman" w:cs="Times New Roman"/>
          <w:sz w:val="24"/>
          <w:szCs w:val="24"/>
          <w:shd w:val="clear" w:color="auto" w:fill="FFFFFF"/>
        </w:rPr>
        <w:t xml:space="preserve"> European Union, responsible for proposing legislation, enforcing EU laws and directing the Union's administrative operations</w:t>
      </w:r>
      <w:r w:rsidRPr="00814262">
        <w:rPr>
          <w:rFonts w:ascii="Times New Roman" w:eastAsia="Times New Roman" w:hAnsi="Times New Roman" w:cs="Times New Roman"/>
          <w:sz w:val="24"/>
          <w:szCs w:val="24"/>
        </w:rPr>
        <w:t xml:space="preserve">, the European Commission’s political interest in environmental and climate policies is evident in both policy documents and political communication genres. The discussion of policies in the EU’s plural, intergovernmental and inter-institutional setting guarantees the multilateral participation of all representatives to policy-making. Nevertheless, political discussion, deliberative actions, and political communication are framed and constrained by context-dependent in- and out-group values, norms and conventions. The latter lie at the core of political genres, which may be defined as “clusters of conventionalised and predictable ways of goal-oriented communicative acting arising from imperatives posed by constantly evolving socio-cultural </w:t>
      </w:r>
      <w:r w:rsidRPr="00FA2912">
        <w:rPr>
          <w:rFonts w:ascii="Times New Roman" w:eastAsia="Times New Roman" w:hAnsi="Times New Roman" w:cs="Times New Roman"/>
          <w:sz w:val="24"/>
          <w:szCs w:val="24"/>
        </w:rPr>
        <w:t xml:space="preserve">situations” (Cap and </w:t>
      </w:r>
      <w:proofErr w:type="spellStart"/>
      <w:r w:rsidRPr="00FA2912">
        <w:rPr>
          <w:rFonts w:ascii="Times New Roman" w:eastAsia="Times New Roman" w:hAnsi="Times New Roman" w:cs="Times New Roman"/>
          <w:sz w:val="24"/>
          <w:szCs w:val="24"/>
        </w:rPr>
        <w:t>Okulska</w:t>
      </w:r>
      <w:proofErr w:type="spellEnd"/>
      <w:r w:rsidRPr="00FA2912">
        <w:rPr>
          <w:rFonts w:ascii="Times New Roman" w:eastAsia="Times New Roman" w:hAnsi="Times New Roman" w:cs="Times New Roman"/>
          <w:sz w:val="24"/>
          <w:szCs w:val="24"/>
        </w:rPr>
        <w:t xml:space="preserve"> 2013:</w:t>
      </w:r>
      <w:r>
        <w:rPr>
          <w:rFonts w:ascii="Times New Roman" w:eastAsia="Times New Roman" w:hAnsi="Times New Roman" w:cs="Times New Roman"/>
          <w:sz w:val="24"/>
          <w:szCs w:val="24"/>
        </w:rPr>
        <w:t xml:space="preserve"> </w:t>
      </w:r>
      <w:r w:rsidRPr="00FA2912">
        <w:rPr>
          <w:rFonts w:ascii="Times New Roman" w:eastAsia="Times New Roman" w:hAnsi="Times New Roman" w:cs="Times New Roman"/>
          <w:sz w:val="24"/>
          <w:szCs w:val="24"/>
        </w:rPr>
        <w:t xml:space="preserve">2). </w:t>
      </w:r>
      <w:r w:rsidRPr="00A207CD">
        <w:rPr>
          <w:rFonts w:ascii="Times New Roman" w:eastAsia="Times New Roman" w:hAnsi="Times New Roman" w:cs="Times New Roman"/>
          <w:sz w:val="24"/>
          <w:szCs w:val="24"/>
        </w:rPr>
        <w:t>The multilevel and mediatized structure of European Commission make it an extremely fascinating example of “genre network” or “genre chain” (</w:t>
      </w:r>
      <w:r w:rsidRPr="00FA2912">
        <w:rPr>
          <w:rFonts w:ascii="Times New Roman" w:eastAsia="Times New Roman" w:hAnsi="Times New Roman" w:cs="Times New Roman"/>
          <w:sz w:val="24"/>
          <w:szCs w:val="24"/>
        </w:rPr>
        <w:t>Devitt, 2004; Swales, 2004</w:t>
      </w:r>
      <w:r w:rsidRPr="00A207CD">
        <w:rPr>
          <w:rFonts w:ascii="Times New Roman" w:eastAsia="Times New Roman" w:hAnsi="Times New Roman" w:cs="Times New Roman"/>
          <w:sz w:val="24"/>
          <w:szCs w:val="24"/>
        </w:rPr>
        <w:t xml:space="preserve">). For instance, policy documents are connected to preparatory acts </w:t>
      </w:r>
      <w:r w:rsidRPr="00FA2912">
        <w:rPr>
          <w:rFonts w:ascii="Times New Roman" w:eastAsia="Times New Roman" w:hAnsi="Times New Roman" w:cs="Times New Roman"/>
          <w:sz w:val="24"/>
          <w:szCs w:val="24"/>
        </w:rPr>
        <w:t xml:space="preserve">(e.g. Green papers) and working documents which are used to create the specific forms of knowledge that the Commission needs to carry out its work, and to communicate with its own </w:t>
      </w:r>
      <w:r w:rsidRPr="00ED5972">
        <w:rPr>
          <w:rFonts w:ascii="Times New Roman" w:hAnsi="Times New Roman" w:cs="Times New Roman"/>
          <w:sz w:val="24"/>
          <w:szCs w:val="24"/>
          <w:shd w:val="clear" w:color="auto" w:fill="FFFFFF"/>
        </w:rPr>
        <w:t xml:space="preserve">administrative body, which is split into departments </w:t>
      </w:r>
      <w:bookmarkStart w:id="1" w:name="_Hlk86499976"/>
      <w:r w:rsidRPr="00ED5972">
        <w:rPr>
          <w:rFonts w:ascii="Times New Roman" w:hAnsi="Times New Roman" w:cs="Times New Roman"/>
          <w:sz w:val="24"/>
          <w:szCs w:val="24"/>
          <w:shd w:val="clear" w:color="auto" w:fill="FFFFFF"/>
        </w:rPr>
        <w:t>called </w:t>
      </w:r>
      <w:hyperlink r:id="rId6" w:tooltip="Directorate-General" w:history="1">
        <w:r w:rsidRPr="00A207CD">
          <w:rPr>
            <w:rFonts w:ascii="Times New Roman" w:hAnsi="Times New Roman" w:cs="Times New Roman"/>
            <w:sz w:val="24"/>
            <w:szCs w:val="24"/>
            <w:shd w:val="clear" w:color="auto" w:fill="FFFFFF"/>
          </w:rPr>
          <w:t>directorates-general</w:t>
        </w:r>
      </w:hyperlink>
      <w:bookmarkEnd w:id="1"/>
      <w:r w:rsidRPr="00A207CD">
        <w:rPr>
          <w:rFonts w:ascii="Times New Roman" w:hAnsi="Times New Roman" w:cs="Times New Roman"/>
          <w:sz w:val="24"/>
          <w:szCs w:val="24"/>
          <w:shd w:val="clear" w:color="auto" w:fill="FFFFFF"/>
        </w:rPr>
        <w:t> and services, and to communicate with other European institutions.</w:t>
      </w:r>
      <w:r w:rsidRPr="00FA2912">
        <w:rPr>
          <w:rFonts w:ascii="Times New Roman" w:eastAsia="Times New Roman" w:hAnsi="Times New Roman" w:cs="Times New Roman"/>
          <w:sz w:val="24"/>
          <w:szCs w:val="24"/>
        </w:rPr>
        <w:t xml:space="preserve"> They are also intertextually and interdiscursively related to ‘governance’ genres such as the documents entrusted by the commission to external experts (ETU, References of studies entrusted by the Commission to external experts). Most importantly, they are connected to political communication genres such as speeches, press releases, press statements and conferences which support the institutional and organizational structure of the Commission by sharing its continuously evolving goals and values. Accordingly, the following analysis will evaluate how the climate, environmental and heal</w:t>
      </w:r>
      <w:r w:rsidRPr="00ED5972">
        <w:rPr>
          <w:rFonts w:ascii="Times New Roman" w:eastAsia="Times New Roman" w:hAnsi="Times New Roman" w:cs="Times New Roman"/>
          <w:sz w:val="24"/>
          <w:szCs w:val="24"/>
        </w:rPr>
        <w:t xml:space="preserve">th nexus has evolved in policy-documents and political communication - that is how it has been negotiated and shared across time. </w:t>
      </w:r>
    </w:p>
    <w:p w14:paraId="47C04B93" w14:textId="77777777" w:rsidR="00A31CC3" w:rsidRDefault="00A31CC3" w:rsidP="00A31CC3">
      <w:pPr>
        <w:spacing w:before="240" w:after="240" w:line="360" w:lineRule="auto"/>
        <w:rPr>
          <w:rFonts w:ascii="Times New Roman" w:eastAsia="Times New Roman" w:hAnsi="Times New Roman" w:cs="Times New Roman"/>
          <w:b/>
          <w:bCs/>
          <w:sz w:val="24"/>
          <w:szCs w:val="24"/>
        </w:rPr>
      </w:pPr>
    </w:p>
    <w:p w14:paraId="3720346F" w14:textId="77777777" w:rsidR="00A31CC3" w:rsidRPr="00020287" w:rsidRDefault="00A31CC3" w:rsidP="00A31CC3">
      <w:pPr>
        <w:spacing w:before="240" w:after="240" w:line="360" w:lineRule="auto"/>
        <w:rPr>
          <w:rFonts w:ascii="Times New Roman" w:eastAsia="Times New Roman" w:hAnsi="Times New Roman" w:cs="Times New Roman"/>
          <w:b/>
          <w:bCs/>
          <w:sz w:val="24"/>
          <w:szCs w:val="24"/>
        </w:rPr>
      </w:pPr>
      <w:r w:rsidRPr="00020287">
        <w:rPr>
          <w:rFonts w:ascii="Times New Roman" w:eastAsia="Times New Roman" w:hAnsi="Times New Roman" w:cs="Times New Roman"/>
          <w:b/>
          <w:bCs/>
          <w:sz w:val="24"/>
          <w:szCs w:val="24"/>
        </w:rPr>
        <w:t>3. Materials and Methods</w:t>
      </w:r>
    </w:p>
    <w:p w14:paraId="69885260" w14:textId="77777777" w:rsidR="00A31CC3" w:rsidRPr="00FA2912" w:rsidRDefault="00A31CC3" w:rsidP="00A31CC3">
      <w:pPr>
        <w:spacing w:before="240" w:after="240" w:line="360" w:lineRule="auto"/>
        <w:jc w:val="both"/>
        <w:rPr>
          <w:rFonts w:ascii="Times New Roman" w:eastAsia="Times New Roman" w:hAnsi="Times New Roman" w:cs="Times New Roman"/>
          <w:sz w:val="24"/>
          <w:szCs w:val="24"/>
        </w:rPr>
      </w:pPr>
      <w:r w:rsidRPr="00020287">
        <w:rPr>
          <w:rFonts w:ascii="Times New Roman" w:eastAsia="Times New Roman" w:hAnsi="Times New Roman" w:cs="Times New Roman"/>
          <w:sz w:val="24"/>
          <w:szCs w:val="24"/>
        </w:rPr>
        <w:t xml:space="preserve">For the purpose of this study, a corpus of texts released by the European Commission over the last </w:t>
      </w:r>
      <w:r w:rsidRPr="00985C21">
        <w:rPr>
          <w:rFonts w:ascii="Times New Roman" w:eastAsia="Times New Roman" w:hAnsi="Times New Roman" w:cs="Times New Roman"/>
          <w:sz w:val="24"/>
          <w:szCs w:val="24"/>
        </w:rPr>
        <w:t>decade was compiled. As documented in several studies (e.g</w:t>
      </w:r>
      <w:r w:rsidRPr="00FA2912">
        <w:rPr>
          <w:rFonts w:ascii="Times New Roman" w:eastAsia="Times New Roman" w:hAnsi="Times New Roman" w:cs="Times New Roman"/>
          <w:sz w:val="24"/>
          <w:szCs w:val="24"/>
        </w:rPr>
        <w:t>. Burns et al 2020, Wurzel et al 2017</w:t>
      </w:r>
      <w:r w:rsidRPr="00A207CD">
        <w:rPr>
          <w:rFonts w:ascii="Times New Roman" w:eastAsia="Times New Roman" w:hAnsi="Times New Roman" w:cs="Times New Roman"/>
          <w:sz w:val="24"/>
          <w:szCs w:val="24"/>
        </w:rPr>
        <w:t xml:space="preserve">), the EU has, in fact, started playing a key leadership role in environmental politics and, particularly, in climate change politics at a global level </w:t>
      </w:r>
      <w:r w:rsidRPr="00FA2912">
        <w:rPr>
          <w:rFonts w:ascii="Times New Roman" w:eastAsia="Times New Roman" w:hAnsi="Times New Roman" w:cs="Times New Roman"/>
          <w:sz w:val="24"/>
          <w:szCs w:val="24"/>
        </w:rPr>
        <w:t>since the beginning of the twenty-first</w:t>
      </w:r>
      <w:r w:rsidRPr="00985C21">
        <w:rPr>
          <w:rFonts w:ascii="Times New Roman" w:eastAsia="Times New Roman" w:hAnsi="Times New Roman" w:cs="Times New Roman"/>
          <w:sz w:val="24"/>
          <w:szCs w:val="24"/>
        </w:rPr>
        <w:t xml:space="preserve"> century, soon after </w:t>
      </w:r>
      <w:r w:rsidRPr="00985C21">
        <w:rPr>
          <w:rFonts w:ascii="Times New Roman" w:eastAsia="Times New Roman" w:hAnsi="Times New Roman" w:cs="Times New Roman"/>
          <w:sz w:val="24"/>
          <w:szCs w:val="24"/>
        </w:rPr>
        <w:lastRenderedPageBreak/>
        <w:t>the adoption of the Kyoto Protocol.</w:t>
      </w:r>
      <w:r w:rsidRPr="00A207CD">
        <w:rPr>
          <w:rStyle w:val="FootnoteReference"/>
          <w:rFonts w:ascii="Times New Roman" w:eastAsia="Times New Roman" w:hAnsi="Times New Roman" w:cs="Times New Roman"/>
          <w:sz w:val="24"/>
          <w:szCs w:val="24"/>
        </w:rPr>
        <w:footnoteReference w:id="3"/>
      </w:r>
      <w:r w:rsidRPr="00A207CD">
        <w:rPr>
          <w:rFonts w:ascii="Times New Roman" w:eastAsia="Times New Roman" w:hAnsi="Times New Roman" w:cs="Times New Roman"/>
          <w:sz w:val="24"/>
          <w:szCs w:val="24"/>
        </w:rPr>
        <w:t xml:space="preserve"> The diachronic corpus used in our study includes two </w:t>
      </w:r>
      <w:proofErr w:type="spellStart"/>
      <w:r w:rsidRPr="00A207CD">
        <w:rPr>
          <w:rFonts w:ascii="Times New Roman" w:eastAsia="Times New Roman" w:hAnsi="Times New Roman" w:cs="Times New Roman"/>
          <w:sz w:val="24"/>
          <w:szCs w:val="24"/>
        </w:rPr>
        <w:t>subcorpora</w:t>
      </w:r>
      <w:proofErr w:type="spellEnd"/>
      <w:r w:rsidRPr="00A207CD">
        <w:rPr>
          <w:rFonts w:ascii="Times New Roman" w:eastAsia="Times New Roman" w:hAnsi="Times New Roman" w:cs="Times New Roman"/>
          <w:sz w:val="24"/>
          <w:szCs w:val="24"/>
        </w:rPr>
        <w:t>:</w:t>
      </w:r>
      <w:r w:rsidRPr="00985C21">
        <w:rPr>
          <w:rFonts w:ascii="Times New Roman" w:eastAsia="Times New Roman" w:hAnsi="Times New Roman" w:cs="Times New Roman"/>
          <w:sz w:val="24"/>
          <w:szCs w:val="24"/>
        </w:rPr>
        <w:t xml:space="preserve"> (1) a specialized corpus of key policy documents related to the environment; (2) a spec</w:t>
      </w:r>
      <w:r w:rsidRPr="00AA5148">
        <w:rPr>
          <w:rFonts w:ascii="Times New Roman" w:eastAsia="Times New Roman" w:hAnsi="Times New Roman" w:cs="Times New Roman"/>
          <w:sz w:val="24"/>
          <w:szCs w:val="24"/>
        </w:rPr>
        <w:t>ialized corpus of policy communication consisting in transcripts of press releases, speeches and statements retrieved through the EU press corner online database.</w:t>
      </w:r>
      <w:r w:rsidRPr="00A207CD">
        <w:rPr>
          <w:rStyle w:val="FootnoteReference"/>
          <w:rFonts w:ascii="Times New Roman" w:eastAsia="Times New Roman" w:hAnsi="Times New Roman" w:cs="Times New Roman"/>
          <w:sz w:val="24"/>
          <w:szCs w:val="24"/>
        </w:rPr>
        <w:footnoteReference w:id="4"/>
      </w:r>
      <w:r w:rsidRPr="00A207CD">
        <w:rPr>
          <w:rFonts w:ascii="Times New Roman" w:eastAsia="Times New Roman" w:hAnsi="Times New Roman" w:cs="Times New Roman"/>
          <w:sz w:val="24"/>
          <w:szCs w:val="24"/>
        </w:rPr>
        <w:t xml:space="preserve"> Table 1 provides details of both </w:t>
      </w:r>
      <w:proofErr w:type="spellStart"/>
      <w:r w:rsidRPr="00A207CD">
        <w:rPr>
          <w:rFonts w:ascii="Times New Roman" w:eastAsia="Times New Roman" w:hAnsi="Times New Roman" w:cs="Times New Roman"/>
          <w:sz w:val="24"/>
          <w:szCs w:val="24"/>
        </w:rPr>
        <w:t>subcorpora</w:t>
      </w:r>
      <w:proofErr w:type="spellEnd"/>
      <w:r w:rsidRPr="00A207CD">
        <w:rPr>
          <w:rFonts w:ascii="Times New Roman" w:eastAsia="Times New Roman" w:hAnsi="Times New Roman" w:cs="Times New Roman"/>
          <w:sz w:val="24"/>
          <w:szCs w:val="24"/>
        </w:rPr>
        <w:t>.</w:t>
      </w:r>
    </w:p>
    <w:p w14:paraId="2DCD14BA" w14:textId="77777777" w:rsidR="00A31CC3" w:rsidRPr="00ED5972" w:rsidRDefault="00A31CC3" w:rsidP="00A31CC3">
      <w:pPr>
        <w:pStyle w:val="FootnoteText"/>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1 NEAR HERE</w:t>
      </w:r>
    </w:p>
    <w:p w14:paraId="2FA0F3F8" w14:textId="77777777" w:rsidR="00A31CC3" w:rsidRPr="00ED5972" w:rsidRDefault="00A31CC3" w:rsidP="00A31CC3">
      <w:pPr>
        <w:pStyle w:val="FootnoteText"/>
        <w:spacing w:line="360" w:lineRule="auto"/>
        <w:jc w:val="both"/>
        <w:rPr>
          <w:rFonts w:ascii="Times New Roman" w:eastAsia="Times New Roman" w:hAnsi="Times New Roman" w:cs="Times New Roman"/>
          <w:sz w:val="24"/>
          <w:szCs w:val="24"/>
        </w:rPr>
      </w:pPr>
    </w:p>
    <w:p w14:paraId="4CBC471C" w14:textId="77777777" w:rsidR="00A31CC3" w:rsidRPr="00AA2AD8" w:rsidRDefault="00A31CC3" w:rsidP="00A31CC3">
      <w:pPr>
        <w:pStyle w:val="FootnoteText"/>
        <w:spacing w:line="360" w:lineRule="auto"/>
        <w:jc w:val="both"/>
        <w:rPr>
          <w:rFonts w:ascii="Times New Roman" w:eastAsia="Times New Roman" w:hAnsi="Times New Roman" w:cs="Times New Roman"/>
          <w:sz w:val="24"/>
          <w:szCs w:val="24"/>
        </w:rPr>
      </w:pPr>
      <w:r w:rsidRPr="00ED5972">
        <w:rPr>
          <w:rFonts w:ascii="Times New Roman" w:eastAsia="Times New Roman" w:hAnsi="Times New Roman" w:cs="Times New Roman"/>
          <w:sz w:val="24"/>
          <w:szCs w:val="24"/>
        </w:rPr>
        <w:t xml:space="preserve">As regards the former, the policy </w:t>
      </w:r>
      <w:proofErr w:type="spellStart"/>
      <w:r w:rsidRPr="00ED5972">
        <w:rPr>
          <w:rFonts w:ascii="Times New Roman" w:eastAsia="Times New Roman" w:hAnsi="Times New Roman" w:cs="Times New Roman"/>
          <w:sz w:val="24"/>
          <w:szCs w:val="24"/>
        </w:rPr>
        <w:t>subcorpus</w:t>
      </w:r>
      <w:proofErr w:type="spellEnd"/>
      <w:r w:rsidRPr="00ED5972">
        <w:rPr>
          <w:rFonts w:ascii="Times New Roman" w:eastAsia="Times New Roman" w:hAnsi="Times New Roman" w:cs="Times New Roman"/>
          <w:sz w:val="24"/>
          <w:szCs w:val="24"/>
        </w:rPr>
        <w:t xml:space="preserve"> includes six major documents: the </w:t>
      </w:r>
      <w:r w:rsidRPr="00020287">
        <w:rPr>
          <w:rFonts w:ascii="Times New Roman" w:eastAsia="Times New Roman" w:hAnsi="Times New Roman" w:cs="Times New Roman"/>
          <w:i/>
          <w:sz w:val="24"/>
          <w:szCs w:val="24"/>
        </w:rPr>
        <w:t>White Paper on Adaptation</w:t>
      </w:r>
      <w:r w:rsidRPr="00020287">
        <w:rPr>
          <w:rFonts w:ascii="Times New Roman" w:eastAsia="Times New Roman" w:hAnsi="Times New Roman" w:cs="Times New Roman"/>
          <w:sz w:val="24"/>
          <w:szCs w:val="24"/>
        </w:rPr>
        <w:t xml:space="preserve"> (2009) that paved the way to the subsequent policy interventio</w:t>
      </w:r>
      <w:r w:rsidRPr="00D8573A">
        <w:rPr>
          <w:rFonts w:ascii="Times New Roman" w:eastAsia="Times New Roman" w:hAnsi="Times New Roman" w:cs="Times New Roman"/>
          <w:sz w:val="24"/>
          <w:szCs w:val="24"/>
        </w:rPr>
        <w:t xml:space="preserve">ns in the field; the </w:t>
      </w:r>
      <w:r w:rsidRPr="00ED5972">
        <w:rPr>
          <w:rFonts w:ascii="Times New Roman" w:eastAsia="Times New Roman" w:hAnsi="Times New Roman" w:cs="Times New Roman"/>
          <w:i/>
          <w:sz w:val="24"/>
          <w:szCs w:val="24"/>
        </w:rPr>
        <w:t>Climate Adaptation Strategies</w:t>
      </w:r>
      <w:r w:rsidRPr="00ED5972">
        <w:rPr>
          <w:rFonts w:ascii="Times New Roman" w:eastAsia="Times New Roman" w:hAnsi="Times New Roman" w:cs="Times New Roman"/>
          <w:sz w:val="24"/>
          <w:szCs w:val="24"/>
        </w:rPr>
        <w:t xml:space="preserve"> issued in 2013 and 2021, providing a fr</w:t>
      </w:r>
      <w:r w:rsidRPr="00020287">
        <w:rPr>
          <w:rFonts w:ascii="Times New Roman" w:eastAsia="Times New Roman" w:hAnsi="Times New Roman" w:cs="Times New Roman"/>
          <w:sz w:val="24"/>
          <w:szCs w:val="24"/>
        </w:rPr>
        <w:t xml:space="preserve">amework and guidelines for adapting to “future impacts of climate change”; the </w:t>
      </w:r>
      <w:r w:rsidRPr="00020287">
        <w:rPr>
          <w:rFonts w:ascii="Times New Roman" w:eastAsia="Times New Roman" w:hAnsi="Times New Roman" w:cs="Times New Roman"/>
          <w:i/>
          <w:sz w:val="24"/>
          <w:szCs w:val="24"/>
        </w:rPr>
        <w:t>7th</w:t>
      </w:r>
      <w:r w:rsidRPr="00AA5148">
        <w:rPr>
          <w:rFonts w:ascii="Times New Roman" w:eastAsia="Times New Roman" w:hAnsi="Times New Roman" w:cs="Times New Roman"/>
          <w:i/>
          <w:sz w:val="24"/>
          <w:szCs w:val="24"/>
        </w:rPr>
        <w:t xml:space="preserve"> Environmental Action Plan</w:t>
      </w:r>
      <w:r w:rsidRPr="00AA5148">
        <w:rPr>
          <w:rFonts w:ascii="Times New Roman" w:eastAsia="Times New Roman" w:hAnsi="Times New Roman" w:cs="Times New Roman"/>
          <w:sz w:val="24"/>
          <w:szCs w:val="24"/>
        </w:rPr>
        <w:t xml:space="preserve"> (2014), and the latest EU’s flagships of environmental action plans - namely the </w:t>
      </w:r>
      <w:r w:rsidRPr="00AA5148">
        <w:rPr>
          <w:rFonts w:ascii="Times New Roman" w:eastAsia="Times New Roman" w:hAnsi="Times New Roman" w:cs="Times New Roman"/>
          <w:i/>
          <w:sz w:val="24"/>
          <w:szCs w:val="24"/>
        </w:rPr>
        <w:t>Green Deal</w:t>
      </w:r>
      <w:r w:rsidRPr="00AA5148">
        <w:rPr>
          <w:rFonts w:ascii="Times New Roman" w:eastAsia="Times New Roman" w:hAnsi="Times New Roman" w:cs="Times New Roman"/>
          <w:sz w:val="24"/>
          <w:szCs w:val="24"/>
        </w:rPr>
        <w:t xml:space="preserve"> (2019) and the </w:t>
      </w:r>
      <w:r w:rsidRPr="00AC15D8">
        <w:rPr>
          <w:rFonts w:ascii="Times New Roman" w:eastAsia="Times New Roman" w:hAnsi="Times New Roman" w:cs="Times New Roman"/>
          <w:i/>
          <w:sz w:val="24"/>
          <w:szCs w:val="24"/>
        </w:rPr>
        <w:t>Climate Pact</w:t>
      </w:r>
      <w:r w:rsidRPr="00AC15D8">
        <w:rPr>
          <w:rFonts w:ascii="Times New Roman" w:eastAsia="Times New Roman" w:hAnsi="Times New Roman" w:cs="Times New Roman"/>
          <w:sz w:val="24"/>
          <w:szCs w:val="24"/>
        </w:rPr>
        <w:t xml:space="preserve"> (2020). As far as the policy communication </w:t>
      </w:r>
      <w:proofErr w:type="spellStart"/>
      <w:r w:rsidRPr="00AC15D8">
        <w:rPr>
          <w:rFonts w:ascii="Times New Roman" w:eastAsia="Times New Roman" w:hAnsi="Times New Roman" w:cs="Times New Roman"/>
          <w:sz w:val="24"/>
          <w:szCs w:val="24"/>
        </w:rPr>
        <w:t>subcorpus</w:t>
      </w:r>
      <w:proofErr w:type="spellEnd"/>
      <w:r w:rsidRPr="00AC15D8">
        <w:rPr>
          <w:rFonts w:ascii="Times New Roman" w:eastAsia="Times New Roman" w:hAnsi="Times New Roman" w:cs="Times New Roman"/>
          <w:sz w:val="24"/>
          <w:szCs w:val="24"/>
        </w:rPr>
        <w:t xml:space="preserve"> is concerned, in order to ensure reliable and adequate representation of the nex</w:t>
      </w:r>
      <w:r w:rsidRPr="00AA2AD8">
        <w:rPr>
          <w:rFonts w:ascii="Times New Roman" w:eastAsia="Times New Roman" w:hAnsi="Times New Roman" w:cs="Times New Roman"/>
          <w:sz w:val="24"/>
          <w:szCs w:val="24"/>
        </w:rPr>
        <w:t>us in the given period, the search word ‘health’ was used in the EU press corner database across selected policy areas</w:t>
      </w:r>
      <w:r w:rsidRPr="00AA5148">
        <w:rPr>
          <w:rFonts w:ascii="Times New Roman" w:eastAsia="Times New Roman" w:hAnsi="Times New Roman" w:cs="Times New Roman"/>
          <w:sz w:val="24"/>
          <w:szCs w:val="24"/>
        </w:rPr>
        <w:t xml:space="preserve">, all broadly related to the environment, i.e. </w:t>
      </w:r>
      <w:r w:rsidRPr="00AA5148">
        <w:rPr>
          <w:rFonts w:ascii="Times New Roman" w:eastAsia="Times New Roman" w:hAnsi="Times New Roman" w:cs="Times New Roman"/>
          <w:i/>
          <w:iCs/>
          <w:sz w:val="24"/>
          <w:szCs w:val="24"/>
        </w:rPr>
        <w:t>environment, climate action, energy, Green Deal, recovery &amp; resilience</w:t>
      </w:r>
      <w:r w:rsidRPr="00AA5148">
        <w:rPr>
          <w:rFonts w:ascii="Times New Roman" w:eastAsia="Times New Roman" w:hAnsi="Times New Roman" w:cs="Times New Roman"/>
          <w:sz w:val="24"/>
          <w:szCs w:val="24"/>
        </w:rPr>
        <w:t xml:space="preserve"> for the period spanning between 2010-2020.</w:t>
      </w:r>
      <w:r w:rsidRPr="00AC15D8">
        <w:rPr>
          <w:rFonts w:ascii="Times New Roman" w:eastAsia="Times New Roman" w:hAnsi="Times New Roman" w:cs="Times New Roman"/>
          <w:sz w:val="24"/>
          <w:szCs w:val="24"/>
        </w:rPr>
        <w:t xml:space="preserve"> It should be mentioned that in the period between 2009 and 2013 - when the White Paper and first </w:t>
      </w:r>
      <w:r w:rsidRPr="00AA2AD8">
        <w:rPr>
          <w:rFonts w:ascii="Times New Roman" w:eastAsia="Times New Roman" w:hAnsi="Times New Roman" w:cs="Times New Roman"/>
          <w:i/>
          <w:iCs/>
          <w:sz w:val="24"/>
          <w:szCs w:val="24"/>
        </w:rPr>
        <w:t>Adaptation Strategy</w:t>
      </w:r>
      <w:r w:rsidRPr="00AA2AD8">
        <w:rPr>
          <w:rFonts w:ascii="Times New Roman" w:eastAsia="Times New Roman" w:hAnsi="Times New Roman" w:cs="Times New Roman"/>
          <w:sz w:val="24"/>
          <w:szCs w:val="24"/>
        </w:rPr>
        <w:t xml:space="preserve"> were released - the search word produced no results. Therefore, texts in the communication corpus were gathered starting from 2014. </w:t>
      </w:r>
    </w:p>
    <w:p w14:paraId="6E00EB17" w14:textId="77777777" w:rsidR="00A31CC3" w:rsidRPr="00FA2912" w:rsidRDefault="00A31CC3" w:rsidP="00A31CC3">
      <w:pPr>
        <w:pStyle w:val="FootnoteText"/>
        <w:spacing w:line="360" w:lineRule="auto"/>
        <w:jc w:val="both"/>
        <w:rPr>
          <w:rFonts w:ascii="Times New Roman" w:eastAsia="Times New Roman" w:hAnsi="Times New Roman" w:cs="Times New Roman"/>
          <w:sz w:val="24"/>
          <w:szCs w:val="24"/>
        </w:rPr>
      </w:pPr>
      <w:r w:rsidRPr="00AA2AD8">
        <w:rPr>
          <w:rFonts w:ascii="Times New Roman" w:eastAsia="Times New Roman" w:hAnsi="Times New Roman" w:cs="Times New Roman"/>
          <w:bCs/>
          <w:sz w:val="24"/>
          <w:szCs w:val="24"/>
        </w:rPr>
        <w:t>S</w:t>
      </w:r>
      <w:r w:rsidRPr="00AC15D8">
        <w:rPr>
          <w:rFonts w:ascii="Times New Roman" w:eastAsia="Times New Roman" w:hAnsi="Times New Roman" w:cs="Times New Roman"/>
          <w:bCs/>
          <w:sz w:val="24"/>
          <w:szCs w:val="24"/>
        </w:rPr>
        <w:t xml:space="preserve">ince one of the primary goals of critical discourse studies is to question, expose and challenge ‘naturalized’ </w:t>
      </w:r>
      <w:r w:rsidRPr="00AA2AD8">
        <w:rPr>
          <w:rFonts w:ascii="Times New Roman" w:eastAsia="Times New Roman" w:hAnsi="Times New Roman" w:cs="Times New Roman"/>
          <w:bCs/>
          <w:sz w:val="24"/>
          <w:szCs w:val="24"/>
        </w:rPr>
        <w:t>discourses, a mixed-methods approach is deemed useful in providing the tools to address the ideological potential of this discursive landscape.</w:t>
      </w:r>
      <w:r w:rsidRPr="00AC15D8">
        <w:rPr>
          <w:rFonts w:ascii="Times New Roman" w:eastAsia="Times New Roman" w:hAnsi="Times New Roman" w:cs="Times New Roman"/>
          <w:bCs/>
          <w:sz w:val="24"/>
          <w:szCs w:val="24"/>
        </w:rPr>
        <w:t xml:space="preserve"> </w:t>
      </w:r>
      <w:r w:rsidRPr="00AC15D8">
        <w:rPr>
          <w:rFonts w:ascii="Times New Roman" w:eastAsia="Times New Roman" w:hAnsi="Times New Roman" w:cs="Times New Roman"/>
          <w:sz w:val="24"/>
          <w:szCs w:val="24"/>
        </w:rPr>
        <w:t>The study thus adopts an ‘eclectic’ approach (</w:t>
      </w:r>
      <w:r w:rsidRPr="00FA2912">
        <w:rPr>
          <w:rFonts w:ascii="Times New Roman" w:eastAsia="Times New Roman" w:hAnsi="Times New Roman" w:cs="Times New Roman"/>
          <w:sz w:val="24"/>
          <w:szCs w:val="24"/>
        </w:rPr>
        <w:t>Baker 2006: 16</w:t>
      </w:r>
      <w:r w:rsidRPr="00A207CD">
        <w:rPr>
          <w:rFonts w:ascii="Times New Roman" w:eastAsia="Times New Roman" w:hAnsi="Times New Roman" w:cs="Times New Roman"/>
          <w:sz w:val="24"/>
          <w:szCs w:val="24"/>
        </w:rPr>
        <w:t>), by combining the tools and techniques of corpus linguistics with the theoretical and analytical framework of critical discourse studies (</w:t>
      </w:r>
      <w:r w:rsidRPr="00FA2912">
        <w:rPr>
          <w:rFonts w:ascii="Times New Roman" w:eastAsia="Times New Roman" w:hAnsi="Times New Roman" w:cs="Times New Roman"/>
          <w:sz w:val="24"/>
          <w:szCs w:val="24"/>
        </w:rPr>
        <w:t>inter alia Baker et al 2008, Mautner 2009</w:t>
      </w:r>
      <w:r w:rsidRPr="00A207CD">
        <w:rPr>
          <w:rFonts w:ascii="Times New Roman" w:eastAsia="Times New Roman" w:hAnsi="Times New Roman" w:cs="Times New Roman"/>
          <w:sz w:val="24"/>
          <w:szCs w:val="24"/>
        </w:rPr>
        <w:t xml:space="preserve">), informed by systemic functional </w:t>
      </w:r>
      <w:r w:rsidRPr="00FA2912">
        <w:rPr>
          <w:rFonts w:ascii="Times New Roman" w:eastAsia="Times New Roman" w:hAnsi="Times New Roman" w:cs="Times New Roman"/>
          <w:sz w:val="24"/>
          <w:szCs w:val="24"/>
        </w:rPr>
        <w:t xml:space="preserve">linguistics, and appraisal systems (Halliday and </w:t>
      </w:r>
      <w:proofErr w:type="spellStart"/>
      <w:r w:rsidRPr="00FA2912">
        <w:rPr>
          <w:rFonts w:ascii="Times New Roman" w:eastAsia="Times New Roman" w:hAnsi="Times New Roman" w:cs="Times New Roman"/>
          <w:sz w:val="24"/>
          <w:szCs w:val="24"/>
        </w:rPr>
        <w:t>Matthiesen</w:t>
      </w:r>
      <w:proofErr w:type="spellEnd"/>
      <w:r w:rsidRPr="00FA2912">
        <w:rPr>
          <w:rFonts w:ascii="Times New Roman" w:eastAsia="Times New Roman" w:hAnsi="Times New Roman" w:cs="Times New Roman"/>
          <w:sz w:val="24"/>
          <w:szCs w:val="24"/>
        </w:rPr>
        <w:t xml:space="preserve"> 2004, Martin and White 2005).</w:t>
      </w:r>
      <w:r w:rsidRPr="00A207CD">
        <w:rPr>
          <w:rFonts w:ascii="Times New Roman" w:eastAsia="Times New Roman" w:hAnsi="Times New Roman" w:cs="Times New Roman"/>
          <w:sz w:val="24"/>
          <w:szCs w:val="24"/>
        </w:rPr>
        <w:t xml:space="preserve"> </w:t>
      </w:r>
      <w:r w:rsidRPr="00A207CD">
        <w:rPr>
          <w:rFonts w:ascii="Times New Roman" w:hAnsi="Times New Roman" w:cs="Times New Roman"/>
          <w:sz w:val="24"/>
          <w:szCs w:val="24"/>
        </w:rPr>
        <w:t xml:space="preserve">Corpus </w:t>
      </w:r>
      <w:r w:rsidRPr="00FA2912">
        <w:rPr>
          <w:rFonts w:ascii="Times New Roman" w:hAnsi="Times New Roman" w:cs="Times New Roman"/>
          <w:sz w:val="24"/>
          <w:szCs w:val="24"/>
        </w:rPr>
        <w:t>linguistics</w:t>
      </w:r>
      <w:r w:rsidRPr="00A207CD">
        <w:rPr>
          <w:rFonts w:ascii="Times New Roman" w:hAnsi="Times New Roman" w:cs="Times New Roman"/>
          <w:sz w:val="24"/>
          <w:szCs w:val="24"/>
        </w:rPr>
        <w:fldChar w:fldCharType="begin"/>
      </w:r>
      <w:r w:rsidRPr="00A207CD">
        <w:rPr>
          <w:rFonts w:ascii="Times New Roman" w:hAnsi="Times New Roman" w:cs="Times New Roman"/>
          <w:sz w:val="24"/>
          <w:szCs w:val="24"/>
        </w:rPr>
        <w:instrText xml:space="preserve"> XE "Corpus Linguistics" </w:instrText>
      </w:r>
      <w:r w:rsidRPr="00A207CD">
        <w:rPr>
          <w:rFonts w:ascii="Times New Roman" w:hAnsi="Times New Roman" w:cs="Times New Roman"/>
          <w:sz w:val="24"/>
          <w:szCs w:val="24"/>
        </w:rPr>
        <w:fldChar w:fldCharType="end"/>
      </w:r>
      <w:r w:rsidRPr="00A207CD">
        <w:rPr>
          <w:rFonts w:ascii="Times New Roman" w:hAnsi="Times New Roman" w:cs="Times New Roman"/>
          <w:sz w:val="24"/>
          <w:szCs w:val="24"/>
        </w:rPr>
        <w:t xml:space="preserve"> methodological tools such as quantitative techniques (lists of frequency, statistical significance, concordances and collocational analysis) have been combined in the present study with the analysis of context and discourse structural evaluation</w:t>
      </w:r>
      <w:r w:rsidRPr="00A207CD">
        <w:rPr>
          <w:rFonts w:ascii="Times New Roman" w:hAnsi="Times New Roman" w:cs="Times New Roman"/>
          <w:sz w:val="24"/>
          <w:szCs w:val="24"/>
        </w:rPr>
        <w:fldChar w:fldCharType="begin"/>
      </w:r>
      <w:r w:rsidRPr="00A207CD">
        <w:rPr>
          <w:rFonts w:ascii="Times New Roman" w:hAnsi="Times New Roman" w:cs="Times New Roman"/>
          <w:sz w:val="24"/>
          <w:szCs w:val="24"/>
        </w:rPr>
        <w:instrText xml:space="preserve"> XE "Evaluation" </w:instrText>
      </w:r>
      <w:r w:rsidRPr="00A207CD">
        <w:rPr>
          <w:rFonts w:ascii="Times New Roman" w:hAnsi="Times New Roman" w:cs="Times New Roman"/>
          <w:sz w:val="24"/>
          <w:szCs w:val="24"/>
        </w:rPr>
        <w:fldChar w:fldCharType="end"/>
      </w:r>
      <w:r w:rsidRPr="00A207CD">
        <w:rPr>
          <w:rFonts w:ascii="Times New Roman" w:hAnsi="Times New Roman" w:cs="Times New Roman"/>
          <w:sz w:val="24"/>
          <w:szCs w:val="24"/>
        </w:rPr>
        <w:t xml:space="preserve"> through qualitative assessments (</w:t>
      </w:r>
      <w:r w:rsidRPr="00A207CD">
        <w:rPr>
          <w:rFonts w:ascii="Times New Roman" w:hAnsi="Times New Roman" w:cs="Times New Roman"/>
          <w:sz w:val="24"/>
          <w:szCs w:val="24"/>
        </w:rPr>
        <w:fldChar w:fldCharType="begin"/>
      </w:r>
      <w:r w:rsidRPr="00A207CD">
        <w:rPr>
          <w:rFonts w:ascii="Times New Roman" w:hAnsi="Times New Roman" w:cs="Times New Roman"/>
          <w:sz w:val="24"/>
          <w:szCs w:val="24"/>
        </w:rPr>
        <w:instrText xml:space="preserve"> XE "Baker, Paul" </w:instrText>
      </w:r>
      <w:r w:rsidRPr="00A207CD">
        <w:rPr>
          <w:rFonts w:ascii="Times New Roman" w:hAnsi="Times New Roman" w:cs="Times New Roman"/>
          <w:sz w:val="24"/>
          <w:szCs w:val="24"/>
        </w:rPr>
        <w:fldChar w:fldCharType="end"/>
      </w:r>
      <w:r>
        <w:rPr>
          <w:rFonts w:ascii="Times New Roman" w:hAnsi="Times New Roman" w:cs="Times New Roman"/>
          <w:sz w:val="24"/>
          <w:szCs w:val="24"/>
        </w:rPr>
        <w:t xml:space="preserve">Baker </w:t>
      </w:r>
      <w:r w:rsidRPr="00A207CD">
        <w:rPr>
          <w:rFonts w:ascii="Times New Roman" w:hAnsi="Times New Roman" w:cs="Times New Roman"/>
          <w:sz w:val="24"/>
          <w:szCs w:val="24"/>
        </w:rPr>
        <w:t>2006; Baker</w:t>
      </w:r>
      <w:r w:rsidRPr="00A207CD">
        <w:rPr>
          <w:rFonts w:ascii="Times New Roman" w:hAnsi="Times New Roman" w:cs="Times New Roman"/>
          <w:sz w:val="24"/>
          <w:szCs w:val="24"/>
        </w:rPr>
        <w:fldChar w:fldCharType="begin"/>
      </w:r>
      <w:r w:rsidRPr="00A207CD">
        <w:rPr>
          <w:rFonts w:ascii="Times New Roman" w:hAnsi="Times New Roman" w:cs="Times New Roman"/>
          <w:sz w:val="24"/>
          <w:szCs w:val="24"/>
        </w:rPr>
        <w:instrText xml:space="preserve"> XE "Baker, Paul" </w:instrText>
      </w:r>
      <w:r w:rsidRPr="00A207CD">
        <w:rPr>
          <w:rFonts w:ascii="Times New Roman" w:hAnsi="Times New Roman" w:cs="Times New Roman"/>
          <w:sz w:val="24"/>
          <w:szCs w:val="24"/>
        </w:rPr>
        <w:fldChar w:fldCharType="end"/>
      </w:r>
      <w:r w:rsidRPr="00A207CD">
        <w:rPr>
          <w:rFonts w:ascii="Times New Roman" w:hAnsi="Times New Roman" w:cs="Times New Roman"/>
          <w:sz w:val="24"/>
          <w:szCs w:val="24"/>
        </w:rPr>
        <w:t xml:space="preserve"> </w:t>
      </w:r>
      <w:r w:rsidRPr="00A207CD">
        <w:rPr>
          <w:rFonts w:ascii="Times New Roman" w:hAnsi="Times New Roman" w:cs="Times New Roman"/>
          <w:i/>
          <w:sz w:val="24"/>
          <w:szCs w:val="24"/>
        </w:rPr>
        <w:t>et al.</w:t>
      </w:r>
      <w:r w:rsidRPr="00A207CD">
        <w:rPr>
          <w:rFonts w:ascii="Times New Roman" w:hAnsi="Times New Roman" w:cs="Times New Roman"/>
          <w:sz w:val="24"/>
          <w:szCs w:val="24"/>
        </w:rPr>
        <w:t>, 2008; Bevitori</w:t>
      </w:r>
      <w:r w:rsidRPr="00A207CD">
        <w:rPr>
          <w:rFonts w:ascii="Times New Roman" w:hAnsi="Times New Roman" w:cs="Times New Roman"/>
          <w:sz w:val="24"/>
          <w:szCs w:val="24"/>
        </w:rPr>
        <w:fldChar w:fldCharType="begin"/>
      </w:r>
      <w:r w:rsidRPr="00A207CD">
        <w:rPr>
          <w:rFonts w:ascii="Times New Roman" w:hAnsi="Times New Roman" w:cs="Times New Roman"/>
          <w:sz w:val="24"/>
          <w:szCs w:val="24"/>
        </w:rPr>
        <w:instrText xml:space="preserve"> XE "Bevitori, Cinzia" </w:instrText>
      </w:r>
      <w:r w:rsidRPr="00A207CD">
        <w:rPr>
          <w:rFonts w:ascii="Times New Roman" w:hAnsi="Times New Roman" w:cs="Times New Roman"/>
          <w:sz w:val="24"/>
          <w:szCs w:val="24"/>
        </w:rPr>
        <w:fldChar w:fldCharType="end"/>
      </w:r>
      <w:r w:rsidRPr="00A207CD">
        <w:rPr>
          <w:rFonts w:ascii="Times New Roman" w:hAnsi="Times New Roman" w:cs="Times New Roman"/>
          <w:sz w:val="24"/>
          <w:szCs w:val="24"/>
        </w:rPr>
        <w:t xml:space="preserve"> 2011, 2014). </w:t>
      </w:r>
      <w:r w:rsidRPr="00FA2912">
        <w:rPr>
          <w:rFonts w:ascii="Times New Roman" w:eastAsia="ヒラギノ角ゴ Pro W3" w:hAnsi="Times New Roman" w:cs="Times New Roman"/>
          <w:sz w:val="24"/>
          <w:szCs w:val="24"/>
        </w:rPr>
        <w:t>T</w:t>
      </w:r>
      <w:r w:rsidRPr="00FA2912">
        <w:rPr>
          <w:rFonts w:ascii="Times New Roman" w:hAnsi="Times New Roman" w:cs="Times New Roman"/>
          <w:sz w:val="24"/>
          <w:szCs w:val="24"/>
        </w:rPr>
        <w:t xml:space="preserve">he analysis was carried out by firstly taking into consideration the different </w:t>
      </w:r>
      <w:proofErr w:type="spellStart"/>
      <w:r w:rsidRPr="00FA2912">
        <w:rPr>
          <w:rFonts w:ascii="Times New Roman" w:hAnsi="Times New Roman" w:cs="Times New Roman"/>
          <w:sz w:val="24"/>
          <w:szCs w:val="24"/>
        </w:rPr>
        <w:t>subcorpora</w:t>
      </w:r>
      <w:proofErr w:type="spellEnd"/>
      <w:r w:rsidRPr="00FA2912">
        <w:rPr>
          <w:rFonts w:ascii="Times New Roman" w:hAnsi="Times New Roman" w:cs="Times New Roman"/>
          <w:sz w:val="24"/>
          <w:szCs w:val="24"/>
        </w:rPr>
        <w:t xml:space="preserve"> through the aid of concordances such as </w:t>
      </w:r>
      <w:proofErr w:type="spellStart"/>
      <w:r w:rsidRPr="00FA2912">
        <w:rPr>
          <w:rFonts w:ascii="Times New Roman" w:hAnsi="Times New Roman" w:cs="Times New Roman"/>
          <w:i/>
          <w:iCs/>
          <w:sz w:val="24"/>
          <w:szCs w:val="24"/>
        </w:rPr>
        <w:t>SketchEngine</w:t>
      </w:r>
      <w:proofErr w:type="spellEnd"/>
      <w:r w:rsidRPr="00FA2912">
        <w:rPr>
          <w:rFonts w:ascii="Times New Roman" w:hAnsi="Times New Roman" w:cs="Times New Roman"/>
          <w:i/>
          <w:iCs/>
          <w:sz w:val="24"/>
          <w:szCs w:val="24"/>
        </w:rPr>
        <w:t xml:space="preserve"> and Wordsmith Tools 7.0 </w:t>
      </w:r>
      <w:r w:rsidRPr="00FA2912">
        <w:rPr>
          <w:rFonts w:ascii="Times New Roman" w:hAnsi="Times New Roman" w:cs="Times New Roman"/>
          <w:sz w:val="24"/>
          <w:szCs w:val="24"/>
        </w:rPr>
        <w:t xml:space="preserve">to explore the frequency, statistical </w:t>
      </w:r>
      <w:r w:rsidRPr="00FA2912">
        <w:rPr>
          <w:rFonts w:ascii="Times New Roman" w:hAnsi="Times New Roman" w:cs="Times New Roman"/>
          <w:sz w:val="24"/>
          <w:szCs w:val="24"/>
        </w:rPr>
        <w:lastRenderedPageBreak/>
        <w:t>significance, and context of specific lexical items and terms, phrases, lexical bundles and multiword units. T</w:t>
      </w:r>
      <w:r w:rsidRPr="00FA2912">
        <w:rPr>
          <w:rFonts w:ascii="Times New Roman" w:eastAsia="Times New Roman" w:hAnsi="Times New Roman" w:cs="Times New Roman"/>
          <w:bCs/>
          <w:iCs/>
          <w:sz w:val="24"/>
          <w:szCs w:val="24"/>
        </w:rPr>
        <w:t>he data were later analysed according to a combined approach which draws upon recent findings in the fields of critical discourse studies</w:t>
      </w:r>
      <w:r w:rsidRPr="00A207CD">
        <w:rPr>
          <w:rFonts w:ascii="Times New Roman" w:eastAsia="Times New Roman" w:hAnsi="Times New Roman" w:cs="Times New Roman"/>
          <w:bCs/>
          <w:iCs/>
          <w:sz w:val="24"/>
          <w:szCs w:val="24"/>
        </w:rPr>
        <w:fldChar w:fldCharType="begin"/>
      </w:r>
      <w:r w:rsidRPr="00A207CD">
        <w:rPr>
          <w:rFonts w:ascii="Times New Roman" w:hAnsi="Times New Roman" w:cs="Times New Roman"/>
          <w:sz w:val="24"/>
          <w:szCs w:val="24"/>
        </w:rPr>
        <w:instrText xml:space="preserve"> XE "Critical Discourse Analysis" </w:instrText>
      </w:r>
      <w:r w:rsidRPr="00A207CD">
        <w:rPr>
          <w:rFonts w:ascii="Times New Roman" w:eastAsia="Times New Roman" w:hAnsi="Times New Roman" w:cs="Times New Roman"/>
          <w:bCs/>
          <w:iCs/>
          <w:sz w:val="24"/>
          <w:szCs w:val="24"/>
        </w:rPr>
        <w:fldChar w:fldCharType="end"/>
      </w:r>
      <w:r w:rsidRPr="00A207CD">
        <w:rPr>
          <w:rFonts w:ascii="Times New Roman" w:eastAsia="Times New Roman" w:hAnsi="Times New Roman" w:cs="Times New Roman"/>
          <w:bCs/>
          <w:iCs/>
          <w:sz w:val="24"/>
          <w:szCs w:val="24"/>
        </w:rPr>
        <w:t xml:space="preserve"> and a</w:t>
      </w:r>
      <w:r w:rsidRPr="00FA2912">
        <w:rPr>
          <w:rFonts w:ascii="Times New Roman" w:eastAsia="Times New Roman" w:hAnsi="Times New Roman" w:cs="Times New Roman"/>
          <w:bCs/>
          <w:iCs/>
          <w:sz w:val="24"/>
          <w:szCs w:val="24"/>
        </w:rPr>
        <w:t xml:space="preserve">ppraisal linguistics. </w:t>
      </w:r>
      <w:r w:rsidRPr="00FA2912">
        <w:rPr>
          <w:rFonts w:ascii="Times New Roman" w:eastAsia="Times New Roman" w:hAnsi="Times New Roman" w:cs="Times New Roman"/>
          <w:sz w:val="24"/>
          <w:szCs w:val="24"/>
        </w:rPr>
        <w:t xml:space="preserve">The aim is to move beyond a ‘normative’ approach in order to bridge the gap between micro and macro levels of analysis - and/or the quantitative-qualitative divide - as well as disciplinary traditions, by integrating approaches, methodologies, and procedures of investigation. The combination of different but </w:t>
      </w:r>
      <w:r w:rsidRPr="00FA2912">
        <w:rPr>
          <w:rFonts w:ascii="Times New Roman" w:hAnsi="Times New Roman" w:cs="Times New Roman"/>
          <w:sz w:val="24"/>
          <w:szCs w:val="24"/>
        </w:rPr>
        <w:t>“mutually supportive methodologies” (Mautner 2009</w:t>
      </w:r>
      <w:r w:rsidRPr="00A207CD">
        <w:rPr>
          <w:rFonts w:ascii="Times New Roman" w:hAnsi="Times New Roman" w:cs="Times New Roman"/>
          <w:sz w:val="24"/>
          <w:szCs w:val="24"/>
        </w:rPr>
        <w:t>) is</w:t>
      </w:r>
      <w:r>
        <w:rPr>
          <w:rFonts w:ascii="Times New Roman" w:hAnsi="Times New Roman" w:cs="Times New Roman"/>
          <w:sz w:val="24"/>
          <w:szCs w:val="24"/>
        </w:rPr>
        <w:t xml:space="preserve">, in fact, </w:t>
      </w:r>
      <w:r w:rsidRPr="00A207CD">
        <w:rPr>
          <w:rFonts w:ascii="Times New Roman" w:hAnsi="Times New Roman" w:cs="Times New Roman"/>
          <w:sz w:val="24"/>
          <w:szCs w:val="24"/>
        </w:rPr>
        <w:t xml:space="preserve"> crucial in analysing aspects of institutional and </w:t>
      </w:r>
      <w:r w:rsidRPr="00FA2912">
        <w:rPr>
          <w:rFonts w:ascii="Times New Roman" w:hAnsi="Times New Roman" w:cs="Times New Roman"/>
          <w:sz w:val="24"/>
          <w:szCs w:val="24"/>
        </w:rPr>
        <w:t xml:space="preserve">socio-political relevance, such as the analysis of policy documents and its communication being investigated here. While on the one hand, quantitative methods may bring benefits to linguistic and discursive investigation of dominant </w:t>
      </w:r>
      <w:proofErr w:type="spellStart"/>
      <w:r w:rsidRPr="00FA2912">
        <w:rPr>
          <w:rFonts w:ascii="Times New Roman" w:hAnsi="Times New Roman" w:cs="Times New Roman"/>
          <w:sz w:val="24"/>
          <w:szCs w:val="24"/>
        </w:rPr>
        <w:t>lexico</w:t>
      </w:r>
      <w:proofErr w:type="spellEnd"/>
      <w:r w:rsidRPr="00FA2912">
        <w:rPr>
          <w:rFonts w:ascii="Times New Roman" w:hAnsi="Times New Roman" w:cs="Times New Roman"/>
          <w:sz w:val="24"/>
          <w:szCs w:val="24"/>
        </w:rPr>
        <w:t xml:space="preserve">-grammatical patterns of discourse, which in turn may enhance the mapping of complex configurations of their stability and </w:t>
      </w:r>
      <w:r>
        <w:rPr>
          <w:rFonts w:ascii="Times New Roman" w:hAnsi="Times New Roman" w:cs="Times New Roman"/>
          <w:sz w:val="24"/>
          <w:szCs w:val="24"/>
        </w:rPr>
        <w:t xml:space="preserve">continuity </w:t>
      </w:r>
      <w:r w:rsidRPr="00FA2912">
        <w:rPr>
          <w:rFonts w:ascii="Times New Roman" w:hAnsi="Times New Roman" w:cs="Times New Roman"/>
          <w:sz w:val="24"/>
          <w:szCs w:val="24"/>
        </w:rPr>
        <w:t xml:space="preserve"> over time, on the other, they often lack a fine-grained, analytical richness, which a thorough and systematic critical discourse analytical approach can provide.</w:t>
      </w:r>
      <w:r w:rsidRPr="00FA2912">
        <w:rPr>
          <w:rFonts w:ascii="Times New Roman" w:eastAsia="Times New Roman" w:hAnsi="Times New Roman" w:cs="Times New Roman"/>
          <w:sz w:val="24"/>
          <w:szCs w:val="24"/>
        </w:rPr>
        <w:t xml:space="preserve"> Therefore, t</w:t>
      </w:r>
      <w:r w:rsidRPr="00FA2912">
        <w:rPr>
          <w:rFonts w:ascii="Times New Roman" w:hAnsi="Times New Roman" w:cs="Times New Roman"/>
          <w:sz w:val="24"/>
          <w:szCs w:val="24"/>
        </w:rPr>
        <w:t xml:space="preserve">he study has been conducted by keeping the different analytical levels in a constant dialogue. </w:t>
      </w:r>
    </w:p>
    <w:p w14:paraId="651E4861" w14:textId="77777777" w:rsidR="002663F7" w:rsidRDefault="002663F7" w:rsidP="00A31CC3">
      <w:pPr>
        <w:spacing w:before="240" w:after="0" w:line="360" w:lineRule="auto"/>
        <w:jc w:val="both"/>
        <w:rPr>
          <w:rFonts w:ascii="Times New Roman" w:eastAsia="Times New Roman" w:hAnsi="Times New Roman" w:cs="Times New Roman"/>
          <w:b/>
          <w:sz w:val="24"/>
          <w:szCs w:val="24"/>
        </w:rPr>
      </w:pPr>
    </w:p>
    <w:p w14:paraId="3447BD1A" w14:textId="3506E8D0" w:rsidR="00A31CC3" w:rsidRPr="00AC15D8" w:rsidRDefault="00A31CC3" w:rsidP="00A31CC3">
      <w:pPr>
        <w:spacing w:before="240" w:after="0" w:line="360" w:lineRule="auto"/>
        <w:jc w:val="both"/>
        <w:rPr>
          <w:rFonts w:ascii="Times New Roman" w:eastAsia="Times New Roman" w:hAnsi="Times New Roman" w:cs="Times New Roman"/>
          <w:b/>
          <w:sz w:val="24"/>
          <w:szCs w:val="24"/>
        </w:rPr>
      </w:pPr>
      <w:r w:rsidRPr="00FA2912">
        <w:rPr>
          <w:rFonts w:ascii="Times New Roman" w:eastAsia="Times New Roman" w:hAnsi="Times New Roman" w:cs="Times New Roman"/>
          <w:b/>
          <w:sz w:val="24"/>
          <w:szCs w:val="24"/>
        </w:rPr>
        <w:t xml:space="preserve">4. </w:t>
      </w:r>
      <w:r w:rsidRPr="00ED5972">
        <w:rPr>
          <w:rFonts w:ascii="Times New Roman" w:eastAsia="Times New Roman" w:hAnsi="Times New Roman" w:cs="Times New Roman"/>
          <w:b/>
          <w:sz w:val="24"/>
          <w:szCs w:val="24"/>
        </w:rPr>
        <w:t xml:space="preserve">Environmental and Climate Change-related Health Problems </w:t>
      </w:r>
      <w:r w:rsidRPr="00020287">
        <w:rPr>
          <w:rFonts w:ascii="Times New Roman" w:eastAsia="Times New Roman" w:hAnsi="Times New Roman" w:cs="Times New Roman"/>
          <w:b/>
          <w:sz w:val="24"/>
          <w:szCs w:val="24"/>
        </w:rPr>
        <w:t xml:space="preserve">in </w:t>
      </w:r>
      <w:r w:rsidRPr="00AA5148">
        <w:rPr>
          <w:rFonts w:ascii="Times New Roman" w:eastAsia="Times New Roman" w:hAnsi="Times New Roman" w:cs="Times New Roman"/>
          <w:b/>
          <w:sz w:val="24"/>
          <w:szCs w:val="24"/>
        </w:rPr>
        <w:t>European Policies (2009-2021)</w:t>
      </w:r>
    </w:p>
    <w:p w14:paraId="3F2E7014" w14:textId="77777777" w:rsidR="00A31CC3" w:rsidRPr="00A207CD" w:rsidRDefault="00A31CC3" w:rsidP="00A31CC3">
      <w:pPr>
        <w:spacing w:before="240" w:after="0" w:line="360" w:lineRule="auto"/>
        <w:jc w:val="both"/>
        <w:rPr>
          <w:rFonts w:ascii="Times New Roman" w:eastAsia="Times New Roman" w:hAnsi="Times New Roman" w:cs="Times New Roman"/>
          <w:sz w:val="24"/>
          <w:szCs w:val="24"/>
        </w:rPr>
      </w:pPr>
      <w:r w:rsidRPr="00AA2AD8">
        <w:rPr>
          <w:rFonts w:ascii="Times New Roman" w:eastAsia="Times New Roman" w:hAnsi="Times New Roman" w:cs="Times New Roman"/>
          <w:sz w:val="24"/>
          <w:szCs w:val="24"/>
        </w:rPr>
        <w:t>The environmental policy documents produced during the years 2009-2021 were characterised by a growing preoccupation with climate change</w:t>
      </w:r>
      <w:r w:rsidRPr="00FA2912">
        <w:rPr>
          <w:rFonts w:ascii="Times New Roman" w:eastAsia="Times New Roman" w:hAnsi="Times New Roman" w:cs="Times New Roman"/>
          <w:sz w:val="24"/>
          <w:szCs w:val="24"/>
        </w:rPr>
        <w:t>.</w:t>
      </w:r>
      <w:r w:rsidRPr="00A207CD">
        <w:rPr>
          <w:rFonts w:ascii="Times New Roman" w:eastAsia="Times New Roman" w:hAnsi="Times New Roman" w:cs="Times New Roman"/>
          <w:sz w:val="24"/>
          <w:szCs w:val="24"/>
        </w:rPr>
        <w:t xml:space="preserve"> Largely influenced by findings by the Intergovernmental Panel on Climate Change</w:t>
      </w:r>
      <w:r w:rsidRPr="00A207CD">
        <w:rPr>
          <w:rStyle w:val="FootnoteReference"/>
          <w:rFonts w:ascii="Times New Roman" w:eastAsia="Times New Roman" w:hAnsi="Times New Roman" w:cs="Times New Roman"/>
          <w:sz w:val="24"/>
          <w:szCs w:val="24"/>
        </w:rPr>
        <w:footnoteReference w:id="5"/>
      </w:r>
      <w:r w:rsidRPr="00A207CD">
        <w:rPr>
          <w:rFonts w:ascii="Times New Roman" w:eastAsia="Times New Roman" w:hAnsi="Times New Roman" w:cs="Times New Roman"/>
          <w:sz w:val="24"/>
          <w:szCs w:val="24"/>
        </w:rPr>
        <w:t xml:space="preserve"> and The Lancet Commission,</w:t>
      </w:r>
      <w:r w:rsidRPr="00A207CD">
        <w:rPr>
          <w:rStyle w:val="FootnoteReference"/>
          <w:rFonts w:ascii="Times New Roman" w:eastAsia="Times New Roman" w:hAnsi="Times New Roman" w:cs="Times New Roman"/>
          <w:sz w:val="24"/>
          <w:szCs w:val="24"/>
        </w:rPr>
        <w:footnoteReference w:id="6"/>
      </w:r>
      <w:r w:rsidRPr="00A207CD">
        <w:rPr>
          <w:rFonts w:ascii="Times New Roman" w:eastAsia="Times New Roman" w:hAnsi="Times New Roman" w:cs="Times New Roman"/>
          <w:sz w:val="24"/>
          <w:szCs w:val="24"/>
        </w:rPr>
        <w:t xml:space="preserve"> the policy documents selected for this study may be considered as</w:t>
      </w:r>
      <w:r w:rsidRPr="00FA2912">
        <w:rPr>
          <w:rFonts w:ascii="Times New Roman" w:eastAsia="Times New Roman" w:hAnsi="Times New Roman" w:cs="Times New Roman"/>
          <w:sz w:val="24"/>
          <w:szCs w:val="24"/>
        </w:rPr>
        <w:t xml:space="preserve"> the EU’s official stand on the strategies and actions to be taken. As aforementioned, although they “are non-legislative policies, or ‘soft law’”, they are the most authoritative EU level documents that exist on the environment” (</w:t>
      </w:r>
      <w:proofErr w:type="spellStart"/>
      <w:r w:rsidRPr="00FA2912">
        <w:rPr>
          <w:rFonts w:ascii="Times New Roman" w:eastAsia="Times New Roman" w:hAnsi="Times New Roman" w:cs="Times New Roman"/>
          <w:sz w:val="24"/>
          <w:szCs w:val="24"/>
        </w:rPr>
        <w:t>Remling</w:t>
      </w:r>
      <w:proofErr w:type="spellEnd"/>
      <w:r w:rsidRPr="00FA2912">
        <w:rPr>
          <w:rFonts w:ascii="Times New Roman" w:eastAsia="Times New Roman" w:hAnsi="Times New Roman" w:cs="Times New Roman"/>
          <w:sz w:val="24"/>
          <w:szCs w:val="24"/>
        </w:rPr>
        <w:t xml:space="preserve"> 2018: 482).</w:t>
      </w:r>
      <w:r w:rsidRPr="00A207CD">
        <w:rPr>
          <w:rFonts w:ascii="Times New Roman" w:eastAsia="Times New Roman" w:hAnsi="Times New Roman" w:cs="Times New Roman"/>
          <w:sz w:val="24"/>
          <w:szCs w:val="24"/>
        </w:rPr>
        <w:t xml:space="preserve"> At the same time, they are not a mere representation of the EU’s propositions but the space of the political articulation of ideas about the environment across tim</w:t>
      </w:r>
      <w:r w:rsidRPr="00FA2912">
        <w:rPr>
          <w:rFonts w:ascii="Times New Roman" w:eastAsia="Times New Roman" w:hAnsi="Times New Roman" w:cs="Times New Roman"/>
          <w:sz w:val="24"/>
          <w:szCs w:val="24"/>
        </w:rPr>
        <w:t>e, texts and contexts. Rather than mere outputs of political processes, they are political sites in themselves.</w:t>
      </w:r>
      <w:r w:rsidRPr="00A44750">
        <w:rPr>
          <w:rFonts w:ascii="Times New Roman" w:eastAsia="Times New Roman" w:hAnsi="Times New Roman" w:cs="Times New Roman"/>
          <w:sz w:val="24"/>
          <w:szCs w:val="24"/>
        </w:rPr>
        <w:t xml:space="preserve"> Consequently, they may also </w:t>
      </w:r>
      <w:r w:rsidRPr="009809E0">
        <w:rPr>
          <w:rFonts w:ascii="Times New Roman" w:eastAsia="Times New Roman" w:hAnsi="Times New Roman" w:cs="Times New Roman"/>
          <w:sz w:val="24"/>
          <w:szCs w:val="24"/>
        </w:rPr>
        <w:t xml:space="preserve">be regarded </w:t>
      </w:r>
      <w:r w:rsidRPr="009809E0">
        <w:rPr>
          <w:rFonts w:ascii="Times New Roman" w:eastAsia="Times New Roman" w:hAnsi="Times New Roman" w:cs="Times New Roman"/>
          <w:sz w:val="24"/>
          <w:szCs w:val="24"/>
        </w:rPr>
        <w:lastRenderedPageBreak/>
        <w:t xml:space="preserve">as </w:t>
      </w:r>
      <w:r w:rsidRPr="00B964B8">
        <w:rPr>
          <w:rFonts w:ascii="Times New Roman" w:eastAsia="Times New Roman" w:hAnsi="Times New Roman" w:cs="Times New Roman"/>
          <w:sz w:val="24"/>
          <w:szCs w:val="24"/>
        </w:rPr>
        <w:t>socio-political sites of struggle over meanings,</w:t>
      </w:r>
      <w:r w:rsidRPr="00814262">
        <w:rPr>
          <w:rFonts w:ascii="Times New Roman" w:eastAsia="Times New Roman" w:hAnsi="Times New Roman" w:cs="Times New Roman"/>
          <w:sz w:val="24"/>
          <w:szCs w:val="24"/>
        </w:rPr>
        <w:t xml:space="preserve"> which take years to be approved, adapting and encompassing opposing ideas in order to construct shared meanings about common problems (</w:t>
      </w:r>
      <w:r w:rsidRPr="00FA2912">
        <w:rPr>
          <w:rFonts w:ascii="Times New Roman" w:eastAsia="Times New Roman" w:hAnsi="Times New Roman" w:cs="Times New Roman"/>
          <w:sz w:val="24"/>
          <w:szCs w:val="24"/>
        </w:rPr>
        <w:t xml:space="preserve">Fairclough and Fairclough 2012; </w:t>
      </w:r>
      <w:proofErr w:type="spellStart"/>
      <w:r w:rsidRPr="00FA2912">
        <w:rPr>
          <w:rFonts w:ascii="Times New Roman" w:eastAsia="Times New Roman" w:hAnsi="Times New Roman" w:cs="Times New Roman"/>
          <w:sz w:val="24"/>
          <w:szCs w:val="24"/>
        </w:rPr>
        <w:t>Laclau</w:t>
      </w:r>
      <w:proofErr w:type="spellEnd"/>
      <w:r w:rsidRPr="00FA2912">
        <w:rPr>
          <w:rFonts w:ascii="Times New Roman" w:eastAsia="Times New Roman" w:hAnsi="Times New Roman" w:cs="Times New Roman"/>
          <w:sz w:val="24"/>
          <w:szCs w:val="24"/>
        </w:rPr>
        <w:t xml:space="preserve"> and </w:t>
      </w:r>
      <w:proofErr w:type="spellStart"/>
      <w:r w:rsidRPr="00FA2912">
        <w:rPr>
          <w:rFonts w:ascii="Times New Roman" w:eastAsia="Times New Roman" w:hAnsi="Times New Roman" w:cs="Times New Roman"/>
          <w:sz w:val="24"/>
          <w:szCs w:val="24"/>
        </w:rPr>
        <w:t>Mouffe</w:t>
      </w:r>
      <w:proofErr w:type="spellEnd"/>
      <w:r w:rsidRPr="00FA2912">
        <w:rPr>
          <w:rFonts w:ascii="Times New Roman" w:eastAsia="Times New Roman" w:hAnsi="Times New Roman" w:cs="Times New Roman"/>
          <w:sz w:val="24"/>
          <w:szCs w:val="24"/>
        </w:rPr>
        <w:t xml:space="preserve"> 2001</w:t>
      </w:r>
      <w:r w:rsidRPr="00A207CD">
        <w:rPr>
          <w:rFonts w:ascii="Times New Roman" w:eastAsia="Times New Roman" w:hAnsi="Times New Roman" w:cs="Times New Roman"/>
          <w:sz w:val="24"/>
          <w:szCs w:val="24"/>
        </w:rPr>
        <w:t xml:space="preserve">). The latter are in fact of great interest in the analysis of how environmental and climate-change related health “problems” are constituted and evaluated </w:t>
      </w:r>
      <w:r w:rsidRPr="00FA2912">
        <w:rPr>
          <w:rFonts w:ascii="Times New Roman" w:eastAsia="Times New Roman" w:hAnsi="Times New Roman" w:cs="Times New Roman"/>
          <w:sz w:val="24"/>
          <w:szCs w:val="24"/>
        </w:rPr>
        <w:t>(</w:t>
      </w:r>
      <w:proofErr w:type="spellStart"/>
      <w:r w:rsidRPr="00FA2912">
        <w:rPr>
          <w:rFonts w:ascii="Times New Roman" w:eastAsia="Times New Roman" w:hAnsi="Times New Roman" w:cs="Times New Roman"/>
          <w:sz w:val="24"/>
          <w:szCs w:val="24"/>
        </w:rPr>
        <w:t>Bacchi</w:t>
      </w:r>
      <w:proofErr w:type="spellEnd"/>
      <w:r w:rsidRPr="00FA2912">
        <w:rPr>
          <w:rFonts w:ascii="Times New Roman" w:eastAsia="Times New Roman" w:hAnsi="Times New Roman" w:cs="Times New Roman"/>
          <w:sz w:val="24"/>
          <w:szCs w:val="24"/>
        </w:rPr>
        <w:t xml:space="preserve"> 2016</w:t>
      </w:r>
      <w:r w:rsidRPr="00A207CD">
        <w:rPr>
          <w:rFonts w:ascii="Times New Roman" w:eastAsia="Times New Roman" w:hAnsi="Times New Roman" w:cs="Times New Roman"/>
          <w:sz w:val="24"/>
          <w:szCs w:val="24"/>
        </w:rPr>
        <w:t xml:space="preserve">). </w:t>
      </w:r>
    </w:p>
    <w:p w14:paraId="738E7CBD" w14:textId="77777777" w:rsidR="00A31CC3" w:rsidRPr="00A207CD" w:rsidRDefault="00A31CC3" w:rsidP="00A31CC3">
      <w:pPr>
        <w:pStyle w:val="corpodeltestomainz"/>
        <w:spacing w:line="360" w:lineRule="auto"/>
        <w:rPr>
          <w:rFonts w:ascii="Times New Roman" w:eastAsia="Times New Roman" w:hAnsi="Times New Roman"/>
          <w:sz w:val="24"/>
          <w:szCs w:val="24"/>
        </w:rPr>
      </w:pPr>
      <w:r w:rsidRPr="00FA2912">
        <w:rPr>
          <w:rFonts w:ascii="Times New Roman" w:eastAsia="Times New Roman" w:hAnsi="Times New Roman"/>
          <w:sz w:val="24"/>
          <w:szCs w:val="24"/>
        </w:rPr>
        <w:t>The analysis of the policy corpus wordlist revealed a strong preference for the use of terms deriving from “grammatical metaphors” (Halliday 1989</w:t>
      </w:r>
      <w:r w:rsidRPr="00A207CD">
        <w:rPr>
          <w:rFonts w:ascii="Times New Roman" w:eastAsia="Times New Roman" w:hAnsi="Times New Roman"/>
          <w:sz w:val="24"/>
          <w:szCs w:val="24"/>
        </w:rPr>
        <w:t xml:space="preserve">) and results showed that the most frequent were unsurprisingly </w:t>
      </w:r>
      <w:r w:rsidRPr="00FA2912">
        <w:rPr>
          <w:rFonts w:ascii="Times New Roman" w:eastAsia="Times New Roman" w:hAnsi="Times New Roman"/>
          <w:sz w:val="24"/>
          <w:szCs w:val="24"/>
        </w:rPr>
        <w:t>related to specific approaches to environmental and climate change strategies (e.g. ‘adaptation’, ‘resilience’, ‘transition’) and to other non-specific policy-related actions (e.g. ‘development’, ‘management’, ‘protection’,</w:t>
      </w:r>
      <w:r w:rsidRPr="00B964B8">
        <w:rPr>
          <w:rFonts w:ascii="Times New Roman" w:eastAsia="Times New Roman" w:hAnsi="Times New Roman"/>
          <w:sz w:val="24"/>
          <w:szCs w:val="24"/>
        </w:rPr>
        <w:t xml:space="preserve"> ‘prevention</w:t>
      </w:r>
      <w:r w:rsidRPr="00814262">
        <w:rPr>
          <w:rFonts w:ascii="Times New Roman" w:eastAsia="Times New Roman" w:hAnsi="Times New Roman"/>
          <w:sz w:val="24"/>
          <w:szCs w:val="24"/>
        </w:rPr>
        <w:t>’, ‘participation’). Their distribution was t</w:t>
      </w:r>
      <w:r w:rsidRPr="00971E1E">
        <w:rPr>
          <w:rFonts w:ascii="Times New Roman" w:eastAsia="Times New Roman" w:hAnsi="Times New Roman"/>
          <w:sz w:val="24"/>
          <w:szCs w:val="24"/>
        </w:rPr>
        <w:t xml:space="preserve">hen considered </w:t>
      </w:r>
      <w:r w:rsidRPr="00ED5972">
        <w:rPr>
          <w:rFonts w:ascii="Times New Roman" w:eastAsia="Times New Roman" w:hAnsi="Times New Roman"/>
          <w:sz w:val="24"/>
          <w:szCs w:val="24"/>
        </w:rPr>
        <w:t xml:space="preserve">to get a closer picture of the diachronic change of </w:t>
      </w:r>
      <w:r w:rsidRPr="00020287">
        <w:rPr>
          <w:rFonts w:ascii="Times New Roman" w:eastAsia="Times New Roman" w:hAnsi="Times New Roman"/>
          <w:sz w:val="24"/>
          <w:szCs w:val="24"/>
        </w:rPr>
        <w:t xml:space="preserve">environmental and climate change </w:t>
      </w:r>
      <w:r w:rsidRPr="00AA5148">
        <w:rPr>
          <w:rFonts w:ascii="Times New Roman" w:eastAsia="Times New Roman" w:hAnsi="Times New Roman"/>
          <w:sz w:val="24"/>
          <w:szCs w:val="24"/>
        </w:rPr>
        <w:t>strategies and actions</w:t>
      </w:r>
      <w:r w:rsidRPr="00AC15D8">
        <w:rPr>
          <w:rFonts w:ascii="Times New Roman" w:eastAsia="Times New Roman" w:hAnsi="Times New Roman"/>
          <w:sz w:val="24"/>
          <w:szCs w:val="24"/>
        </w:rPr>
        <w:t xml:space="preserve"> </w:t>
      </w:r>
      <w:r w:rsidRPr="00A44750">
        <w:rPr>
          <w:rFonts w:ascii="Times New Roman" w:eastAsia="Times New Roman" w:hAnsi="Times New Roman"/>
          <w:sz w:val="24"/>
          <w:szCs w:val="24"/>
        </w:rPr>
        <w:t>(see Table 2).</w:t>
      </w:r>
      <w:r w:rsidRPr="00A207CD">
        <w:rPr>
          <w:rFonts w:ascii="Times New Roman" w:eastAsia="Times New Roman" w:hAnsi="Times New Roman"/>
          <w:sz w:val="24"/>
          <w:szCs w:val="24"/>
        </w:rPr>
        <w:t xml:space="preserve"> </w:t>
      </w:r>
    </w:p>
    <w:p w14:paraId="3C5457D2" w14:textId="77777777" w:rsidR="00A31CC3" w:rsidRDefault="00A31CC3" w:rsidP="00A31CC3">
      <w:pPr>
        <w:pStyle w:val="corpodeltestomainz"/>
        <w:spacing w:line="360" w:lineRule="auto"/>
        <w:rPr>
          <w:rFonts w:ascii="Times New Roman" w:eastAsia="Times New Roman" w:hAnsi="Times New Roman"/>
          <w:sz w:val="24"/>
          <w:szCs w:val="24"/>
        </w:rPr>
      </w:pPr>
    </w:p>
    <w:p w14:paraId="0AB9E231" w14:textId="77777777" w:rsidR="00A31CC3" w:rsidRPr="00BE0DA3" w:rsidRDefault="00A31CC3" w:rsidP="00A31CC3">
      <w:pPr>
        <w:pStyle w:val="corpodeltestomainz"/>
        <w:spacing w:line="360" w:lineRule="auto"/>
        <w:jc w:val="left"/>
        <w:rPr>
          <w:rFonts w:ascii="Times New Roman" w:eastAsia="Times New Roman" w:hAnsi="Times New Roman"/>
          <w:sz w:val="24"/>
          <w:szCs w:val="24"/>
        </w:rPr>
      </w:pPr>
      <w:r>
        <w:rPr>
          <w:rFonts w:ascii="Times New Roman" w:eastAsia="Times New Roman" w:hAnsi="Times New Roman"/>
          <w:sz w:val="24"/>
          <w:szCs w:val="24"/>
        </w:rPr>
        <w:t>TABLE 2 NEAR HERE</w:t>
      </w:r>
    </w:p>
    <w:p w14:paraId="18272F8B" w14:textId="77777777" w:rsidR="00A31CC3" w:rsidRPr="00FA2912" w:rsidRDefault="00A31CC3" w:rsidP="00A31CC3">
      <w:pPr>
        <w:pStyle w:val="corpodeltestomainz"/>
        <w:spacing w:line="360" w:lineRule="auto"/>
        <w:jc w:val="center"/>
        <w:rPr>
          <w:rFonts w:ascii="Times New Roman" w:eastAsia="Times New Roman" w:hAnsi="Times New Roman"/>
          <w:sz w:val="24"/>
          <w:szCs w:val="24"/>
        </w:rPr>
      </w:pPr>
    </w:p>
    <w:p w14:paraId="3257B4C0" w14:textId="77777777" w:rsidR="00A31CC3" w:rsidRPr="00814262" w:rsidRDefault="00A31CC3" w:rsidP="00A31CC3">
      <w:pPr>
        <w:pStyle w:val="corpodeltestomainz"/>
        <w:spacing w:line="360" w:lineRule="auto"/>
        <w:rPr>
          <w:rFonts w:ascii="Times New Roman" w:eastAsia="Times New Roman" w:hAnsi="Times New Roman"/>
          <w:bCs/>
          <w:sz w:val="24"/>
          <w:szCs w:val="24"/>
        </w:rPr>
      </w:pPr>
      <w:r w:rsidRPr="00FA2912">
        <w:rPr>
          <w:rFonts w:ascii="Times New Roman" w:eastAsia="Times New Roman" w:hAnsi="Times New Roman"/>
          <w:sz w:val="24"/>
          <w:szCs w:val="24"/>
        </w:rPr>
        <w:t xml:space="preserve">Although mitigation and adaptation were the main strategies </w:t>
      </w:r>
      <w:r w:rsidRPr="00FA2912">
        <w:rPr>
          <w:rFonts w:ascii="Times New Roman" w:eastAsia="Times New Roman" w:hAnsi="Times New Roman"/>
          <w:color w:val="000000" w:themeColor="text1"/>
          <w:sz w:val="24"/>
          <w:szCs w:val="24"/>
        </w:rPr>
        <w:t>proposed by the IPCC,</w:t>
      </w:r>
      <w:r w:rsidRPr="00971E1E">
        <w:rPr>
          <w:rFonts w:ascii="Times New Roman" w:eastAsia="Times New Roman" w:hAnsi="Times New Roman"/>
          <w:color w:val="000000" w:themeColor="text1"/>
          <w:sz w:val="24"/>
          <w:szCs w:val="24"/>
        </w:rPr>
        <w:t xml:space="preserve"> findings suggest </w:t>
      </w:r>
      <w:r w:rsidRPr="00971E1E">
        <w:rPr>
          <w:rFonts w:ascii="Times New Roman" w:eastAsia="Times New Roman" w:hAnsi="Times New Roman"/>
          <w:sz w:val="24"/>
          <w:szCs w:val="24"/>
        </w:rPr>
        <w:t xml:space="preserve">a far stronger promotion of adaptation strategies, which is obviously the focus of the </w:t>
      </w:r>
      <w:r w:rsidRPr="00971E1E">
        <w:rPr>
          <w:rFonts w:ascii="Times New Roman" w:eastAsia="Times New Roman" w:hAnsi="Times New Roman"/>
          <w:i/>
          <w:sz w:val="24"/>
          <w:szCs w:val="24"/>
        </w:rPr>
        <w:t>White Paper</w:t>
      </w:r>
      <w:r w:rsidRPr="00971E1E">
        <w:rPr>
          <w:rFonts w:ascii="Times New Roman" w:eastAsia="Times New Roman" w:hAnsi="Times New Roman"/>
          <w:sz w:val="24"/>
          <w:szCs w:val="24"/>
        </w:rPr>
        <w:t xml:space="preserve"> and </w:t>
      </w:r>
      <w:r w:rsidRPr="00971E1E">
        <w:rPr>
          <w:rFonts w:ascii="Times New Roman" w:eastAsia="Times New Roman" w:hAnsi="Times New Roman"/>
          <w:i/>
          <w:sz w:val="24"/>
          <w:szCs w:val="24"/>
        </w:rPr>
        <w:t>Adaptation Strategies</w:t>
      </w:r>
      <w:r w:rsidRPr="00971E1E">
        <w:rPr>
          <w:rFonts w:ascii="Times New Roman" w:eastAsia="Times New Roman" w:hAnsi="Times New Roman"/>
          <w:sz w:val="24"/>
          <w:szCs w:val="24"/>
        </w:rPr>
        <w:t xml:space="preserve"> (2013, 2021). The term ‘mitigation’,</w:t>
      </w:r>
      <w:r w:rsidRPr="00ED5972">
        <w:rPr>
          <w:rFonts w:ascii="Times New Roman" w:eastAsia="Times New Roman" w:hAnsi="Times New Roman"/>
          <w:sz w:val="24"/>
          <w:szCs w:val="24"/>
        </w:rPr>
        <w:t xml:space="preserve"> which had been at the centre </w:t>
      </w:r>
      <w:r w:rsidRPr="00971E1E">
        <w:rPr>
          <w:rFonts w:ascii="Times New Roman" w:eastAsia="Times New Roman" w:hAnsi="Times New Roman"/>
          <w:sz w:val="24"/>
          <w:szCs w:val="24"/>
        </w:rPr>
        <w:t>of the Commission’s policies in the 1980s and 1990s</w:t>
      </w:r>
      <w:r w:rsidRPr="00ED5972">
        <w:rPr>
          <w:rFonts w:ascii="Times New Roman" w:eastAsia="Times New Roman" w:hAnsi="Times New Roman"/>
          <w:sz w:val="24"/>
          <w:szCs w:val="24"/>
        </w:rPr>
        <w:t xml:space="preserve">, has a very scarce presence </w:t>
      </w:r>
      <w:r w:rsidRPr="00020287">
        <w:rPr>
          <w:rFonts w:ascii="Times New Roman" w:eastAsia="Times New Roman" w:hAnsi="Times New Roman"/>
          <w:sz w:val="24"/>
          <w:szCs w:val="24"/>
        </w:rPr>
        <w:t>in all the documents</w:t>
      </w:r>
      <w:r w:rsidRPr="00AA5148">
        <w:rPr>
          <w:rFonts w:ascii="Times New Roman" w:eastAsia="Times New Roman" w:hAnsi="Times New Roman"/>
          <w:sz w:val="24"/>
          <w:szCs w:val="24"/>
        </w:rPr>
        <w:t>;</w:t>
      </w:r>
      <w:r w:rsidRPr="00AC15D8">
        <w:rPr>
          <w:rFonts w:ascii="Times New Roman" w:eastAsia="Times New Roman" w:hAnsi="Times New Roman"/>
          <w:sz w:val="24"/>
          <w:szCs w:val="24"/>
        </w:rPr>
        <w:t xml:space="preserve"> however</w:t>
      </w:r>
      <w:r w:rsidRPr="00A44750">
        <w:rPr>
          <w:rFonts w:ascii="Times New Roman" w:eastAsia="Times New Roman" w:hAnsi="Times New Roman"/>
          <w:sz w:val="24"/>
          <w:szCs w:val="24"/>
        </w:rPr>
        <w:t xml:space="preserve">, this may also </w:t>
      </w:r>
      <w:r w:rsidRPr="009809E0">
        <w:rPr>
          <w:rFonts w:ascii="Times New Roman" w:eastAsia="Times New Roman" w:hAnsi="Times New Roman"/>
          <w:sz w:val="24"/>
          <w:szCs w:val="24"/>
        </w:rPr>
        <w:t xml:space="preserve">be </w:t>
      </w:r>
      <w:r w:rsidRPr="00B964B8">
        <w:rPr>
          <w:rFonts w:ascii="Times New Roman" w:eastAsia="Times New Roman" w:hAnsi="Times New Roman"/>
          <w:sz w:val="24"/>
          <w:szCs w:val="24"/>
        </w:rPr>
        <w:t>due to the competition with other terms which emerge as mini-definitions in the form of highly unstable multiword terms such as ‘</w:t>
      </w:r>
      <w:r w:rsidRPr="00814262">
        <w:rPr>
          <w:rFonts w:ascii="Times New Roman" w:eastAsia="Times New Roman" w:hAnsi="Times New Roman"/>
          <w:sz w:val="24"/>
          <w:szCs w:val="24"/>
        </w:rPr>
        <w:t xml:space="preserve">GHG emission reduction’, ‘green-house gas emission reduction’, ‘gas emission reduction’ and the emergence of the term </w:t>
      </w:r>
      <w:r w:rsidRPr="00814262">
        <w:rPr>
          <w:rFonts w:ascii="Times New Roman" w:eastAsia="Times New Roman" w:hAnsi="Times New Roman"/>
          <w:color w:val="000000" w:themeColor="text1"/>
          <w:sz w:val="24"/>
          <w:szCs w:val="24"/>
        </w:rPr>
        <w:t xml:space="preserve">‘decarbonisation’ in the </w:t>
      </w:r>
      <w:r w:rsidRPr="00814262">
        <w:rPr>
          <w:rFonts w:ascii="Times New Roman" w:eastAsia="Times New Roman" w:hAnsi="Times New Roman"/>
          <w:i/>
          <w:color w:val="000000" w:themeColor="text1"/>
          <w:sz w:val="24"/>
          <w:szCs w:val="24"/>
        </w:rPr>
        <w:t xml:space="preserve">Green Deal </w:t>
      </w:r>
      <w:r w:rsidRPr="00814262">
        <w:rPr>
          <w:rFonts w:ascii="Times New Roman" w:eastAsia="Times New Roman" w:hAnsi="Times New Roman"/>
          <w:color w:val="000000" w:themeColor="text1"/>
          <w:sz w:val="24"/>
          <w:szCs w:val="24"/>
        </w:rPr>
        <w:t>(</w:t>
      </w:r>
      <w:r w:rsidRPr="00814262">
        <w:rPr>
          <w:rFonts w:ascii="Times New Roman" w:eastAsia="Times New Roman" w:hAnsi="Times New Roman"/>
          <w:sz w:val="24"/>
          <w:szCs w:val="24"/>
        </w:rPr>
        <w:t xml:space="preserve">2019). This scarce representation of the </w:t>
      </w:r>
      <w:r w:rsidRPr="00814262">
        <w:rPr>
          <w:rFonts w:ascii="Times New Roman" w:eastAsia="Times New Roman" w:hAnsi="Times New Roman"/>
          <w:color w:val="000000" w:themeColor="text1"/>
          <w:sz w:val="24"/>
          <w:szCs w:val="24"/>
        </w:rPr>
        <w:t xml:space="preserve">term ‘mitigation’ and </w:t>
      </w:r>
      <w:r w:rsidRPr="00814262">
        <w:rPr>
          <w:rFonts w:ascii="Times New Roman" w:eastAsia="Times New Roman" w:hAnsi="Times New Roman"/>
          <w:sz w:val="24"/>
          <w:szCs w:val="24"/>
        </w:rPr>
        <w:t xml:space="preserve">the presence of new terms in recent policies may be related to the Commission’s wish to foreground adaptation, but it may also indicate a stronger contestation and antagonism towards mitigation measures. In this light, the introduction of the term </w:t>
      </w:r>
      <w:r w:rsidRPr="00814262">
        <w:rPr>
          <w:rFonts w:ascii="Times New Roman" w:eastAsia="Times New Roman" w:hAnsi="Times New Roman"/>
          <w:color w:val="000000" w:themeColor="text1"/>
          <w:sz w:val="24"/>
          <w:szCs w:val="24"/>
        </w:rPr>
        <w:t xml:space="preserve">‘climate-neutral transition’ in 2019 </w:t>
      </w:r>
      <w:r w:rsidRPr="00814262">
        <w:rPr>
          <w:rFonts w:ascii="Times New Roman" w:eastAsia="Times New Roman" w:hAnsi="Times New Roman"/>
          <w:sz w:val="24"/>
          <w:szCs w:val="24"/>
        </w:rPr>
        <w:t>may also be interpreted as a way of responding to the contestation of mitigation policies by “encompass[</w:t>
      </w:r>
      <w:proofErr w:type="spellStart"/>
      <w:r w:rsidRPr="00814262">
        <w:rPr>
          <w:rFonts w:ascii="Times New Roman" w:eastAsia="Times New Roman" w:hAnsi="Times New Roman"/>
          <w:i/>
          <w:iCs/>
          <w:sz w:val="24"/>
          <w:szCs w:val="24"/>
        </w:rPr>
        <w:t>ing</w:t>
      </w:r>
      <w:proofErr w:type="spellEnd"/>
      <w:r w:rsidRPr="00814262">
        <w:rPr>
          <w:rFonts w:ascii="Times New Roman" w:eastAsia="Times New Roman" w:hAnsi="Times New Roman"/>
          <w:sz w:val="24"/>
          <w:szCs w:val="24"/>
        </w:rPr>
        <w:t>] more subtle, marginalising moves” and “pre-emptively defend[</w:t>
      </w:r>
      <w:proofErr w:type="spellStart"/>
      <w:r w:rsidRPr="00814262">
        <w:rPr>
          <w:rFonts w:ascii="Times New Roman" w:eastAsia="Times New Roman" w:hAnsi="Times New Roman"/>
          <w:i/>
          <w:iCs/>
          <w:sz w:val="24"/>
          <w:szCs w:val="24"/>
        </w:rPr>
        <w:t>ing</w:t>
      </w:r>
      <w:proofErr w:type="spellEnd"/>
      <w:r w:rsidRPr="00814262">
        <w:rPr>
          <w:rFonts w:ascii="Times New Roman" w:eastAsia="Times New Roman" w:hAnsi="Times New Roman"/>
          <w:sz w:val="24"/>
          <w:szCs w:val="24"/>
        </w:rPr>
        <w:t>] against alternative policy visions</w:t>
      </w:r>
      <w:r w:rsidRPr="00814262">
        <w:rPr>
          <w:rFonts w:ascii="Times New Roman" w:eastAsia="Times New Roman" w:hAnsi="Times New Roman"/>
          <w:b/>
          <w:sz w:val="24"/>
          <w:szCs w:val="24"/>
        </w:rPr>
        <w:t xml:space="preserve">” </w:t>
      </w:r>
      <w:r w:rsidRPr="00814262">
        <w:rPr>
          <w:rFonts w:ascii="Times New Roman" w:eastAsia="Times New Roman" w:hAnsi="Times New Roman"/>
          <w:bCs/>
          <w:sz w:val="24"/>
          <w:szCs w:val="24"/>
        </w:rPr>
        <w:t>(</w:t>
      </w:r>
      <w:proofErr w:type="spellStart"/>
      <w:r w:rsidRPr="00814262">
        <w:rPr>
          <w:rFonts w:ascii="Times New Roman" w:eastAsia="Times New Roman" w:hAnsi="Times New Roman"/>
          <w:bCs/>
          <w:sz w:val="24"/>
          <w:szCs w:val="24"/>
        </w:rPr>
        <w:t>Remling</w:t>
      </w:r>
      <w:proofErr w:type="spellEnd"/>
      <w:r w:rsidRPr="00814262">
        <w:rPr>
          <w:rFonts w:ascii="Times New Roman" w:eastAsia="Times New Roman" w:hAnsi="Times New Roman"/>
          <w:bCs/>
          <w:sz w:val="24"/>
          <w:szCs w:val="24"/>
        </w:rPr>
        <w:t xml:space="preserve"> 480).</w:t>
      </w:r>
      <w:r w:rsidRPr="00A207CD">
        <w:rPr>
          <w:rFonts w:ascii="Times New Roman" w:eastAsia="Times New Roman" w:hAnsi="Times New Roman"/>
          <w:bCs/>
          <w:sz w:val="24"/>
          <w:szCs w:val="24"/>
        </w:rPr>
        <w:t xml:space="preserve"> On the other hand, since its </w:t>
      </w:r>
      <w:r w:rsidRPr="00FA2912">
        <w:rPr>
          <w:rFonts w:ascii="Times New Roman" w:eastAsia="Times New Roman" w:hAnsi="Times New Roman"/>
          <w:bCs/>
          <w:sz w:val="24"/>
          <w:szCs w:val="24"/>
        </w:rPr>
        <w:t xml:space="preserve">first introduction the term sustainability has been the most transversally used term </w:t>
      </w:r>
      <w:r w:rsidRPr="00ED5972">
        <w:rPr>
          <w:rFonts w:ascii="Times New Roman" w:eastAsia="Times New Roman" w:hAnsi="Times New Roman"/>
          <w:bCs/>
          <w:sz w:val="24"/>
          <w:szCs w:val="24"/>
        </w:rPr>
        <w:t>across the different documents, and</w:t>
      </w:r>
      <w:r w:rsidRPr="00814262">
        <w:rPr>
          <w:rFonts w:ascii="Times New Roman" w:eastAsia="Times New Roman" w:hAnsi="Times New Roman"/>
          <w:bCs/>
          <w:sz w:val="24"/>
          <w:szCs w:val="24"/>
        </w:rPr>
        <w:t xml:space="preserve"> the term resilience which was already present in the </w:t>
      </w:r>
      <w:r w:rsidRPr="00814262">
        <w:rPr>
          <w:rFonts w:ascii="Times New Roman" w:eastAsia="Times New Roman" w:hAnsi="Times New Roman"/>
          <w:bCs/>
          <w:i/>
          <w:sz w:val="24"/>
          <w:szCs w:val="24"/>
        </w:rPr>
        <w:t>White Paper</w:t>
      </w:r>
      <w:r w:rsidRPr="00814262">
        <w:rPr>
          <w:rFonts w:ascii="Times New Roman" w:eastAsia="Times New Roman" w:hAnsi="Times New Roman"/>
          <w:bCs/>
          <w:sz w:val="24"/>
          <w:szCs w:val="24"/>
        </w:rPr>
        <w:t xml:space="preserve"> and the </w:t>
      </w:r>
      <w:r w:rsidRPr="00814262">
        <w:rPr>
          <w:rFonts w:ascii="Times New Roman" w:eastAsia="Times New Roman" w:hAnsi="Times New Roman"/>
          <w:bCs/>
          <w:i/>
          <w:sz w:val="24"/>
          <w:szCs w:val="24"/>
        </w:rPr>
        <w:t>Climate Adaptation Strategy</w:t>
      </w:r>
      <w:r w:rsidRPr="00814262">
        <w:rPr>
          <w:rFonts w:ascii="Times New Roman" w:eastAsia="Times New Roman" w:hAnsi="Times New Roman"/>
          <w:bCs/>
          <w:sz w:val="24"/>
          <w:szCs w:val="24"/>
        </w:rPr>
        <w:t xml:space="preserve"> (2013) greatly increased in the</w:t>
      </w:r>
      <w:r w:rsidRPr="00814262">
        <w:rPr>
          <w:rFonts w:ascii="Times New Roman" w:eastAsia="Times New Roman" w:hAnsi="Times New Roman"/>
          <w:bCs/>
          <w:i/>
          <w:sz w:val="24"/>
          <w:szCs w:val="24"/>
        </w:rPr>
        <w:t xml:space="preserve"> Climate</w:t>
      </w:r>
      <w:r w:rsidRPr="00814262">
        <w:rPr>
          <w:rFonts w:ascii="Times New Roman" w:eastAsia="Times New Roman" w:hAnsi="Times New Roman"/>
          <w:bCs/>
          <w:sz w:val="24"/>
          <w:szCs w:val="24"/>
        </w:rPr>
        <w:t xml:space="preserve"> </w:t>
      </w:r>
      <w:r w:rsidRPr="00814262">
        <w:rPr>
          <w:rFonts w:ascii="Times New Roman" w:eastAsia="Times New Roman" w:hAnsi="Times New Roman"/>
          <w:bCs/>
          <w:i/>
          <w:sz w:val="24"/>
          <w:szCs w:val="24"/>
        </w:rPr>
        <w:t>Adaptation Strategy</w:t>
      </w:r>
      <w:r w:rsidRPr="00814262">
        <w:rPr>
          <w:rFonts w:ascii="Times New Roman" w:eastAsia="Times New Roman" w:hAnsi="Times New Roman"/>
          <w:bCs/>
          <w:sz w:val="24"/>
          <w:szCs w:val="24"/>
        </w:rPr>
        <w:t xml:space="preserve"> (2013), calling for closer attention. </w:t>
      </w:r>
    </w:p>
    <w:p w14:paraId="69BDE7A3" w14:textId="77777777" w:rsidR="00A31CC3" w:rsidRPr="00814262" w:rsidRDefault="00A31CC3" w:rsidP="00A31CC3">
      <w:pPr>
        <w:spacing w:before="240" w:after="240" w:line="360" w:lineRule="auto"/>
        <w:jc w:val="both"/>
        <w:rPr>
          <w:rFonts w:ascii="Times New Roman" w:eastAsia="Times New Roman" w:hAnsi="Times New Roman" w:cs="Times New Roman"/>
          <w:color w:val="FF0000"/>
          <w:sz w:val="24"/>
          <w:szCs w:val="24"/>
        </w:rPr>
      </w:pPr>
      <w:r w:rsidRPr="00814262">
        <w:rPr>
          <w:rFonts w:ascii="Times New Roman" w:eastAsia="Times New Roman" w:hAnsi="Times New Roman" w:cs="Times New Roman"/>
          <w:iCs/>
          <w:sz w:val="24"/>
          <w:szCs w:val="24"/>
        </w:rPr>
        <w:lastRenderedPageBreak/>
        <w:t>Interestingly,</w:t>
      </w:r>
      <w:r w:rsidRPr="00814262">
        <w:rPr>
          <w:rFonts w:ascii="Times New Roman" w:eastAsia="Times New Roman" w:hAnsi="Times New Roman" w:cs="Times New Roman"/>
          <w:i/>
          <w:sz w:val="24"/>
          <w:szCs w:val="24"/>
        </w:rPr>
        <w:t xml:space="preserve"> The 7th </w:t>
      </w:r>
      <w:proofErr w:type="spellStart"/>
      <w:r w:rsidRPr="00814262">
        <w:rPr>
          <w:rFonts w:ascii="Times New Roman" w:eastAsia="Times New Roman" w:hAnsi="Times New Roman" w:cs="Times New Roman"/>
          <w:i/>
          <w:sz w:val="24"/>
          <w:szCs w:val="24"/>
        </w:rPr>
        <w:t>Enviromental</w:t>
      </w:r>
      <w:proofErr w:type="spellEnd"/>
      <w:r w:rsidRPr="00814262">
        <w:rPr>
          <w:rFonts w:ascii="Times New Roman" w:eastAsia="Times New Roman" w:hAnsi="Times New Roman" w:cs="Times New Roman"/>
          <w:i/>
          <w:sz w:val="24"/>
          <w:szCs w:val="24"/>
        </w:rPr>
        <w:t xml:space="preserve"> Plan </w:t>
      </w:r>
      <w:r w:rsidRPr="00814262">
        <w:rPr>
          <w:rFonts w:ascii="Times New Roman" w:eastAsia="Times New Roman" w:hAnsi="Times New Roman" w:cs="Times New Roman"/>
          <w:sz w:val="24"/>
          <w:szCs w:val="24"/>
        </w:rPr>
        <w:t xml:space="preserve">(2014) foregrounded environmental health as its third priority objective: “To safeguard the Union’s citizens from environment-related pressures and risks to health and well-being” (2014) and strongly supported environmental health as an important policy orientation that encompassed ‘well-being’ and ‘sustainability’. It may therefore be viewed as an attempt to conceptualise ‘environmental health’ in a positive way within the sustainability frame, i.e. as a way of developing a connection with the environment and promoting physical and psychological well-being as part of an ethics of care whereby individuals are protected and at the same time feel a responsibility to care for, or protect, ‘the environment’ (Gray and </w:t>
      </w:r>
      <w:proofErr w:type="spellStart"/>
      <w:r w:rsidRPr="00814262">
        <w:rPr>
          <w:rFonts w:ascii="Times New Roman" w:eastAsia="Times New Roman" w:hAnsi="Times New Roman" w:cs="Times New Roman"/>
          <w:sz w:val="24"/>
          <w:szCs w:val="24"/>
        </w:rPr>
        <w:t>Birrell</w:t>
      </w:r>
      <w:proofErr w:type="spellEnd"/>
      <w:r w:rsidRPr="00814262">
        <w:rPr>
          <w:rFonts w:ascii="Times New Roman" w:eastAsia="Times New Roman" w:hAnsi="Times New Roman" w:cs="Times New Roman"/>
          <w:sz w:val="24"/>
          <w:szCs w:val="24"/>
        </w:rPr>
        <w:t>, 2015). However, the policy also encompassed traditional environmental health approaches that propose management and protection as measures to deal with the ‘toxic’ impacts of natural environments on human health (</w:t>
      </w:r>
      <w:proofErr w:type="spellStart"/>
      <w:r w:rsidRPr="00814262">
        <w:rPr>
          <w:rFonts w:ascii="Times New Roman" w:eastAsia="Times New Roman" w:hAnsi="Times New Roman" w:cs="Times New Roman"/>
          <w:sz w:val="24"/>
          <w:szCs w:val="24"/>
        </w:rPr>
        <w:t>Frumkin</w:t>
      </w:r>
      <w:proofErr w:type="spellEnd"/>
      <w:r w:rsidRPr="00814262">
        <w:rPr>
          <w:rFonts w:ascii="Times New Roman" w:eastAsia="Times New Roman" w:hAnsi="Times New Roman" w:cs="Times New Roman"/>
          <w:sz w:val="24"/>
          <w:szCs w:val="24"/>
        </w:rPr>
        <w:t xml:space="preserve">, 2001), or, conversely, with the destructive impact that humans can have on nature (Strife, 2010). Yet, interestingly, health and wellbeing were most frequent in the </w:t>
      </w:r>
      <w:r w:rsidRPr="00814262">
        <w:rPr>
          <w:rFonts w:ascii="Times New Roman" w:eastAsiaTheme="minorHAnsi" w:hAnsi="Times New Roman" w:cs="Times New Roman"/>
          <w:i/>
          <w:color w:val="000000"/>
          <w:sz w:val="24"/>
          <w:szCs w:val="24"/>
          <w:lang w:eastAsia="en-US"/>
        </w:rPr>
        <w:t>White Paper</w:t>
      </w:r>
      <w:r w:rsidRPr="00814262">
        <w:rPr>
          <w:rFonts w:ascii="Times New Roman" w:eastAsiaTheme="minorHAnsi" w:hAnsi="Times New Roman" w:cs="Times New Roman"/>
          <w:color w:val="000000"/>
          <w:sz w:val="24"/>
          <w:szCs w:val="24"/>
          <w:lang w:eastAsia="en-US"/>
        </w:rPr>
        <w:t xml:space="preserve"> (2009), which pointed to the health-related effects of climate change to promote adaptation as a management and prevention strategy together with surveillance and control activities, such as epidemiological surveillance, the control of communicable diseases and the effect of extreme events animal health-related diseases.</w:t>
      </w:r>
      <w:r w:rsidRPr="00814262">
        <w:rPr>
          <w:rFonts w:ascii="Times New Roman" w:eastAsia="Times New Roman" w:hAnsi="Times New Roman" w:cs="Times New Roman"/>
          <w:sz w:val="24"/>
          <w:szCs w:val="24"/>
        </w:rPr>
        <w:t xml:space="preserve"> </w:t>
      </w:r>
      <w:r w:rsidRPr="00814262">
        <w:rPr>
          <w:rFonts w:ascii="Times New Roman" w:eastAsiaTheme="minorHAnsi" w:hAnsi="Times New Roman" w:cs="Times New Roman"/>
          <w:color w:val="000000"/>
          <w:sz w:val="24"/>
          <w:szCs w:val="24"/>
          <w:lang w:eastAsia="en-US"/>
        </w:rPr>
        <w:t xml:space="preserve">Drawing on risk discourse, as well as on language resources of deontic modality, it suggested measures to be taken by member states and the EU to prevent catastrophic future scenarios: </w:t>
      </w:r>
    </w:p>
    <w:p w14:paraId="356C59C4" w14:textId="77777777" w:rsidR="00A31CC3" w:rsidRPr="004D4EBE" w:rsidRDefault="00A31CC3" w:rsidP="00A31CC3">
      <w:pPr>
        <w:spacing w:after="0"/>
        <w:ind w:left="720"/>
        <w:jc w:val="both"/>
        <w:rPr>
          <w:rFonts w:ascii="Times New Roman" w:eastAsiaTheme="minorHAnsi" w:hAnsi="Times New Roman" w:cs="Times New Roman"/>
          <w:color w:val="000000"/>
          <w:lang w:eastAsia="en-US"/>
        </w:rPr>
      </w:pPr>
      <w:r w:rsidRPr="004D4EBE">
        <w:rPr>
          <w:rFonts w:ascii="Times New Roman" w:eastAsiaTheme="minorHAnsi" w:hAnsi="Times New Roman" w:cs="Times New Roman"/>
          <w:color w:val="000000"/>
          <w:lang w:eastAsia="en-US"/>
        </w:rPr>
        <w:t>1. The EU Health Strategy18 foresees action on adaptation. While main policy actions should be taken by the Member States, the EU should use measures to assist Member States under the EU Health Programme19 and through other means in accordance with article 152 of the Treaty20. It should explore with the WHO and EU agencies ways of ensuring adequate surveillance and control of the impact of climate change on health, such as epidemiological surveillance, the control of communicable diseases and the effect of extreme events. […] The impact on animal health will need to be addressed […]. The Community Animal Health Strategy21 aims to prioritise disease control, improve data gathering and step up existing animal disease surveillance. It focuses on disease prevention such as bio-security rather than reactive measures and will consider how climate change affects the occurrence of diseases. (</w:t>
      </w:r>
      <w:r w:rsidRPr="004D4EBE">
        <w:rPr>
          <w:rFonts w:ascii="Times New Roman" w:eastAsiaTheme="minorHAnsi" w:hAnsi="Times New Roman" w:cs="Times New Roman"/>
          <w:i/>
          <w:color w:val="000000"/>
          <w:lang w:eastAsia="en-US"/>
        </w:rPr>
        <w:t>White Paper</w:t>
      </w:r>
      <w:r w:rsidRPr="004D4EBE">
        <w:rPr>
          <w:rFonts w:ascii="Times New Roman" w:eastAsiaTheme="minorHAnsi" w:hAnsi="Times New Roman" w:cs="Times New Roman"/>
          <w:color w:val="000000"/>
          <w:lang w:eastAsia="en-US"/>
        </w:rPr>
        <w:t>, 2009)</w:t>
      </w:r>
    </w:p>
    <w:p w14:paraId="18BC9038" w14:textId="77777777" w:rsidR="00A31CC3" w:rsidRPr="00814262" w:rsidRDefault="00A31CC3" w:rsidP="00A31CC3">
      <w:pPr>
        <w:spacing w:before="240" w:after="240"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t xml:space="preserve">More specifically, the analysis of collocates of adaptation shows that the item was positively </w:t>
      </w:r>
      <w:r>
        <w:rPr>
          <w:rFonts w:ascii="Times New Roman" w:eastAsia="Times New Roman" w:hAnsi="Times New Roman" w:cs="Times New Roman"/>
          <w:sz w:val="24"/>
          <w:szCs w:val="24"/>
        </w:rPr>
        <w:t xml:space="preserve">appraised and </w:t>
      </w:r>
      <w:r w:rsidRPr="00814262">
        <w:rPr>
          <w:rFonts w:ascii="Times New Roman" w:eastAsia="Times New Roman" w:hAnsi="Times New Roman" w:cs="Times New Roman"/>
          <w:sz w:val="24"/>
          <w:szCs w:val="24"/>
        </w:rPr>
        <w:t>framed as an “innovative” and more “achievable” goal that would be “economically” beneficial. The EU commission was generally identified as a social actor which “manages” climate adaptation as part of a profitable enterprise to prevent future health costs and threats to “ecosystems,  human  health,  economy and infrastructure” (see example 2). Initiatives were defined as preventive and related to potential health “risks”:</w:t>
      </w:r>
    </w:p>
    <w:p w14:paraId="14F569EC" w14:textId="77777777" w:rsidR="00A31CC3" w:rsidRPr="004D4EBE" w:rsidRDefault="00A31CC3" w:rsidP="00A31CC3">
      <w:pPr>
        <w:spacing w:after="0"/>
        <w:ind w:left="720"/>
        <w:jc w:val="both"/>
        <w:rPr>
          <w:rFonts w:ascii="Times New Roman" w:eastAsia="Times New Roman" w:hAnsi="Times New Roman" w:cs="Times New Roman"/>
        </w:rPr>
      </w:pPr>
      <w:r w:rsidRPr="004D4EBE">
        <w:rPr>
          <w:rFonts w:ascii="Times New Roman" w:eastAsia="Times New Roman" w:hAnsi="Times New Roman" w:cs="Times New Roman"/>
        </w:rPr>
        <w:t xml:space="preserve">2. Preventive action brings clear economic, environmental and social benefits by anticipating potential  impacts  and  minimising  threats  to  ecosystems,  human  health,  economy  and infrastructure. Although more specific information on the costs of adaptation is needed, several sources already </w:t>
      </w:r>
      <w:r w:rsidRPr="004D4EBE">
        <w:rPr>
          <w:rFonts w:ascii="Times New Roman" w:eastAsia="Times New Roman" w:hAnsi="Times New Roman" w:cs="Times New Roman"/>
        </w:rPr>
        <w:lastRenderedPageBreak/>
        <w:t>indicate that the costs of taking action to address climate change (including adaptation measures) will be much lower than the costs of inaction over the medium to long term (</w:t>
      </w:r>
      <w:r w:rsidRPr="004D4EBE">
        <w:rPr>
          <w:rFonts w:ascii="Times New Roman" w:eastAsia="Times New Roman" w:hAnsi="Times New Roman" w:cs="Times New Roman"/>
          <w:i/>
        </w:rPr>
        <w:t>White Paper</w:t>
      </w:r>
      <w:r w:rsidRPr="004D4EBE">
        <w:rPr>
          <w:rFonts w:ascii="Times New Roman" w:eastAsia="Times New Roman" w:hAnsi="Times New Roman" w:cs="Times New Roman"/>
        </w:rPr>
        <w:t xml:space="preserve">, 2009). </w:t>
      </w:r>
    </w:p>
    <w:p w14:paraId="25ED3157" w14:textId="77777777" w:rsidR="00A31CC3" w:rsidRPr="00814262" w:rsidRDefault="00A31CC3" w:rsidP="00A31CC3">
      <w:pPr>
        <w:spacing w:after="0" w:line="360" w:lineRule="auto"/>
        <w:jc w:val="both"/>
        <w:rPr>
          <w:rFonts w:ascii="Times New Roman" w:eastAsia="Times New Roman" w:hAnsi="Times New Roman" w:cs="Times New Roman"/>
          <w:sz w:val="24"/>
          <w:szCs w:val="24"/>
        </w:rPr>
      </w:pPr>
    </w:p>
    <w:p w14:paraId="178AAFB3" w14:textId="77777777" w:rsidR="00A31CC3" w:rsidRPr="00814262" w:rsidRDefault="00A31CC3" w:rsidP="00A31CC3">
      <w:pPr>
        <w:spacing w:after="0" w:line="360" w:lineRule="auto"/>
        <w:jc w:val="both"/>
        <w:rPr>
          <w:rFonts w:ascii="Times New Roman" w:eastAsia="Times New Roman" w:hAnsi="Times New Roman" w:cs="Times New Roman"/>
          <w:color w:val="FF0000"/>
          <w:sz w:val="24"/>
          <w:szCs w:val="24"/>
        </w:rPr>
      </w:pPr>
      <w:r w:rsidRPr="00814262">
        <w:rPr>
          <w:rFonts w:ascii="Times New Roman" w:eastAsia="Times New Roman" w:hAnsi="Times New Roman" w:cs="Times New Roman"/>
          <w:sz w:val="24"/>
          <w:szCs w:val="24"/>
        </w:rPr>
        <w:t xml:space="preserve">Hence, already in 2009, adaptation was regarded as a strategy to prevent health costs and to help and assist ‘vulnerable’ member states and developing countries. In this light, it may be argued that the interdiscursive connection of abstract terms such as adaptation and vulnerability were instrumental to the political discourse of expansion in developing countries and members states. While primarily devoted to non-EU developing countries with a specific focus on adaptation in Africa, Small Island Developing States (SIDS), and Least Developed Countries (LDCs), the 2002 floods in Central Europe and the 2003 heat wave had started to move adaptation as a health-related cost reduction action to a closer, regional agenda. Yet, the focus on health must have encountered some opposition since in the later official versions of the policy document, the </w:t>
      </w:r>
      <w:r w:rsidRPr="00814262">
        <w:rPr>
          <w:rFonts w:ascii="Times New Roman" w:eastAsia="Times New Roman" w:hAnsi="Times New Roman" w:cs="Times New Roman"/>
          <w:i/>
          <w:sz w:val="24"/>
          <w:szCs w:val="24"/>
        </w:rPr>
        <w:t>European Climate Adaptation Strategy</w:t>
      </w:r>
      <w:r w:rsidRPr="00814262">
        <w:rPr>
          <w:rFonts w:ascii="Times New Roman" w:eastAsia="Times New Roman" w:hAnsi="Times New Roman" w:cs="Times New Roman"/>
          <w:sz w:val="24"/>
          <w:szCs w:val="24"/>
        </w:rPr>
        <w:t xml:space="preserve"> (2013) and </w:t>
      </w:r>
      <w:r w:rsidRPr="00814262">
        <w:rPr>
          <w:rFonts w:ascii="Times New Roman" w:eastAsia="Times New Roman" w:hAnsi="Times New Roman" w:cs="Times New Roman"/>
          <w:i/>
          <w:sz w:val="24"/>
          <w:szCs w:val="24"/>
        </w:rPr>
        <w:t>European Climate Adaptation Strategy</w:t>
      </w:r>
      <w:r w:rsidRPr="00814262">
        <w:rPr>
          <w:rFonts w:ascii="Times New Roman" w:eastAsia="Times New Roman" w:hAnsi="Times New Roman" w:cs="Times New Roman"/>
          <w:sz w:val="24"/>
          <w:szCs w:val="24"/>
        </w:rPr>
        <w:t xml:space="preserve"> (2021), health features less prominently. Moreover, in the latter documents, climate change was not conceptualised as a clear-cut single-system disease, but a ‘threat multiplier’, compounding many of the issues vulnerable communities already faced, and strengthening the correlation between adaptation to factors such as poverty and multiple health risks, pressures on housing, food and water security, making them more likely to occur at the same time: </w:t>
      </w:r>
    </w:p>
    <w:p w14:paraId="3E831861" w14:textId="77777777" w:rsidR="00A31CC3" w:rsidRPr="00814262" w:rsidRDefault="00A31CC3" w:rsidP="00A31CC3">
      <w:pPr>
        <w:spacing w:after="0" w:line="360" w:lineRule="auto"/>
        <w:ind w:left="700"/>
        <w:jc w:val="both"/>
        <w:rPr>
          <w:rFonts w:ascii="Times New Roman" w:eastAsia="Times New Roman" w:hAnsi="Times New Roman" w:cs="Times New Roman"/>
          <w:sz w:val="24"/>
          <w:szCs w:val="24"/>
        </w:rPr>
      </w:pPr>
    </w:p>
    <w:p w14:paraId="464B1D7A" w14:textId="77777777" w:rsidR="00A31CC3" w:rsidRPr="004D4EBE" w:rsidRDefault="00A31CC3" w:rsidP="00A31CC3">
      <w:pPr>
        <w:spacing w:after="0"/>
        <w:ind w:left="720"/>
        <w:jc w:val="both"/>
        <w:rPr>
          <w:rFonts w:ascii="Times New Roman" w:eastAsia="Times New Roman" w:hAnsi="Times New Roman" w:cs="Times New Roman"/>
        </w:rPr>
      </w:pPr>
      <w:r w:rsidRPr="004D4EBE">
        <w:rPr>
          <w:rFonts w:ascii="Times New Roman" w:eastAsia="Times New Roman" w:hAnsi="Times New Roman" w:cs="Times New Roman"/>
        </w:rPr>
        <w:t>3. Reducing vulnerability and building the resilience of populations at risk are prerequisites for poverty reduction and sustainable development. This is why, the EU is committed to investing in these priorities. Risk management is already a part of all EU humanitarian aid and development assistance programmes and will become an even more integral component in the future (</w:t>
      </w:r>
      <w:r w:rsidRPr="004D4EBE">
        <w:rPr>
          <w:rFonts w:ascii="Times New Roman" w:eastAsia="Times New Roman" w:hAnsi="Times New Roman" w:cs="Times New Roman"/>
          <w:i/>
        </w:rPr>
        <w:t>European Climate Adaptation Strategy</w:t>
      </w:r>
      <w:r w:rsidRPr="004D4EBE">
        <w:rPr>
          <w:rFonts w:ascii="Times New Roman" w:eastAsia="Times New Roman" w:hAnsi="Times New Roman" w:cs="Times New Roman"/>
        </w:rPr>
        <w:t>, 2013)</w:t>
      </w:r>
    </w:p>
    <w:p w14:paraId="4AB69BCC" w14:textId="77777777" w:rsidR="00A31CC3" w:rsidRPr="00814262" w:rsidRDefault="00A31CC3" w:rsidP="00A31CC3">
      <w:pPr>
        <w:spacing w:after="0" w:line="360" w:lineRule="auto"/>
        <w:ind w:left="700"/>
        <w:jc w:val="both"/>
        <w:rPr>
          <w:rFonts w:ascii="Times New Roman" w:eastAsia="Times New Roman" w:hAnsi="Times New Roman" w:cs="Times New Roman"/>
          <w:sz w:val="24"/>
          <w:szCs w:val="24"/>
        </w:rPr>
      </w:pPr>
    </w:p>
    <w:p w14:paraId="5A83D014" w14:textId="77777777" w:rsidR="00A31CC3" w:rsidRPr="00814262" w:rsidRDefault="00A31CC3" w:rsidP="00A31CC3">
      <w:pPr>
        <w:spacing w:after="0" w:line="360" w:lineRule="auto"/>
        <w:jc w:val="both"/>
        <w:rPr>
          <w:rFonts w:ascii="Times New Roman" w:eastAsia="Times New Roman" w:hAnsi="Times New Roman" w:cs="Times New Roman"/>
          <w:color w:val="FF0000"/>
          <w:sz w:val="24"/>
          <w:szCs w:val="24"/>
        </w:rPr>
      </w:pPr>
      <w:r w:rsidRPr="00814262">
        <w:rPr>
          <w:rFonts w:ascii="Times New Roman" w:eastAsia="Times New Roman" w:hAnsi="Times New Roman" w:cs="Times New Roman"/>
          <w:sz w:val="24"/>
          <w:szCs w:val="24"/>
        </w:rPr>
        <w:t>This coupling of health with development, risk and vulnerability was further reinforced by the use of the term ‘resilience’, which contributed to the construction of an extremely cohesive narrative and the shaping of the EU as a “pioneer” in climate change risk reduction policies (</w:t>
      </w:r>
      <w:proofErr w:type="spellStart"/>
      <w:r w:rsidRPr="00814262">
        <w:rPr>
          <w:rFonts w:ascii="Times New Roman" w:eastAsia="Times New Roman" w:hAnsi="Times New Roman" w:cs="Times New Roman"/>
          <w:sz w:val="24"/>
          <w:szCs w:val="24"/>
        </w:rPr>
        <w:t>cfr</w:t>
      </w:r>
      <w:proofErr w:type="spellEnd"/>
      <w:r w:rsidRPr="00814262">
        <w:rPr>
          <w:rFonts w:ascii="Times New Roman" w:eastAsia="Times New Roman" w:hAnsi="Times New Roman" w:cs="Times New Roman"/>
          <w:sz w:val="24"/>
          <w:szCs w:val="24"/>
        </w:rPr>
        <w:t>. section 5 of this chapter):</w:t>
      </w:r>
    </w:p>
    <w:p w14:paraId="0DD2697C" w14:textId="77777777" w:rsidR="00A31CC3" w:rsidRPr="004D4EBE" w:rsidRDefault="00A31CC3" w:rsidP="00A31CC3">
      <w:pPr>
        <w:spacing w:before="240" w:after="0"/>
        <w:ind w:left="700" w:firstLine="20"/>
        <w:jc w:val="both"/>
        <w:rPr>
          <w:rFonts w:ascii="Times New Roman" w:eastAsia="Times New Roman" w:hAnsi="Times New Roman" w:cs="Times New Roman"/>
        </w:rPr>
      </w:pPr>
      <w:r w:rsidRPr="004D4EBE">
        <w:rPr>
          <w:rFonts w:ascii="Times New Roman" w:eastAsia="Times New Roman" w:hAnsi="Times New Roman" w:cs="Times New Roman"/>
        </w:rPr>
        <w:t>4. The EU has already taken action to boost its resilience over the past years under the 2013 Adaptation Strategy13. […]The Global  Commission  on  Adaptation  recognised  the  EU  as  a  pioneer  in  integrating considerations of climate risk into decision-making. This new strategy builds on that experience, increases ambition, and expands to cover new areas and priorities. (</w:t>
      </w:r>
      <w:r w:rsidRPr="004D4EBE">
        <w:rPr>
          <w:rFonts w:ascii="Times New Roman" w:eastAsia="Times New Roman" w:hAnsi="Times New Roman" w:cs="Times New Roman"/>
          <w:i/>
        </w:rPr>
        <w:t>European Climate Adaptation Strategy</w:t>
      </w:r>
      <w:r w:rsidRPr="004D4EBE">
        <w:rPr>
          <w:rFonts w:ascii="Times New Roman" w:eastAsia="Times New Roman" w:hAnsi="Times New Roman" w:cs="Times New Roman"/>
        </w:rPr>
        <w:t xml:space="preserve"> 2021)</w:t>
      </w:r>
    </w:p>
    <w:p w14:paraId="5C2561D5" w14:textId="77777777" w:rsidR="00A31CC3" w:rsidRPr="00814262" w:rsidRDefault="00A31CC3" w:rsidP="00A31CC3">
      <w:pPr>
        <w:spacing w:before="240" w:after="0" w:line="360" w:lineRule="auto"/>
        <w:jc w:val="both"/>
        <w:rPr>
          <w:rFonts w:ascii="Times New Roman" w:eastAsiaTheme="minorHAnsi" w:hAnsi="Times New Roman" w:cs="Times New Roman"/>
          <w:color w:val="000000"/>
          <w:sz w:val="24"/>
          <w:szCs w:val="24"/>
          <w:lang w:eastAsia="en-US"/>
        </w:rPr>
      </w:pPr>
      <w:r w:rsidRPr="00814262">
        <w:rPr>
          <w:rFonts w:ascii="Times New Roman" w:eastAsia="Times New Roman" w:hAnsi="Times New Roman" w:cs="Times New Roman"/>
          <w:sz w:val="24"/>
          <w:szCs w:val="24"/>
        </w:rPr>
        <w:t xml:space="preserve">Twelve years after the </w:t>
      </w:r>
      <w:r w:rsidRPr="00814262">
        <w:rPr>
          <w:rFonts w:ascii="Times New Roman" w:eastAsia="Times New Roman" w:hAnsi="Times New Roman" w:cs="Times New Roman"/>
          <w:i/>
          <w:sz w:val="24"/>
          <w:szCs w:val="24"/>
        </w:rPr>
        <w:t xml:space="preserve">White Paper </w:t>
      </w:r>
      <w:r w:rsidRPr="00814262">
        <w:rPr>
          <w:rFonts w:ascii="Times New Roman" w:eastAsia="Times New Roman" w:hAnsi="Times New Roman" w:cs="Times New Roman"/>
          <w:sz w:val="24"/>
          <w:szCs w:val="24"/>
        </w:rPr>
        <w:t>(2009), climate change is no longer a future scenario and is showing its effects, it is “an existential threat” (</w:t>
      </w:r>
      <w:r w:rsidRPr="00814262">
        <w:rPr>
          <w:rFonts w:ascii="Times New Roman" w:eastAsia="Times New Roman" w:hAnsi="Times New Roman" w:cs="Times New Roman"/>
          <w:i/>
          <w:sz w:val="24"/>
          <w:szCs w:val="24"/>
        </w:rPr>
        <w:t>European Climate Adaptation Strategy</w:t>
      </w:r>
      <w:r w:rsidRPr="00814262">
        <w:rPr>
          <w:rFonts w:ascii="Times New Roman" w:eastAsia="Times New Roman" w:hAnsi="Times New Roman" w:cs="Times New Roman"/>
          <w:sz w:val="24"/>
          <w:szCs w:val="24"/>
        </w:rPr>
        <w:t xml:space="preserve"> 2021). In the new post-covid-19 scenario, </w:t>
      </w:r>
      <w:r w:rsidRPr="00814262">
        <w:rPr>
          <w:rFonts w:ascii="Times New Roman" w:eastAsiaTheme="minorHAnsi" w:hAnsi="Times New Roman" w:cs="Times New Roman"/>
          <w:color w:val="000000"/>
          <w:sz w:val="24"/>
          <w:szCs w:val="24"/>
          <w:lang w:eastAsia="en-US"/>
        </w:rPr>
        <w:t xml:space="preserve">climate change related health problems are defined as increasing and </w:t>
      </w:r>
      <w:r w:rsidRPr="00814262">
        <w:rPr>
          <w:rFonts w:ascii="Times New Roman" w:eastAsiaTheme="minorHAnsi" w:hAnsi="Times New Roman" w:cs="Times New Roman"/>
          <w:color w:val="000000"/>
          <w:sz w:val="24"/>
          <w:szCs w:val="24"/>
          <w:lang w:eastAsia="en-US"/>
        </w:rPr>
        <w:lastRenderedPageBreak/>
        <w:t xml:space="preserve">serious ‘threats’. The EU approach to the environment, climate and health nexus continues to draw on the discourse of risk and environmental crisis, which typically positions the environment as a place of disaster, catastrophe, degradation, and sickness. Yet </w:t>
      </w:r>
      <w:r w:rsidRPr="00814262">
        <w:rPr>
          <w:rFonts w:ascii="Times New Roman" w:eastAsia="Times New Roman" w:hAnsi="Times New Roman" w:cs="Times New Roman"/>
          <w:sz w:val="24"/>
          <w:szCs w:val="24"/>
        </w:rPr>
        <w:t>the “climate emergency” and the new context of “climate and biodiversity crises” are again framed as an “opportunity” to act against “huge” costs and the “worst”. As a consequence</w:t>
      </w:r>
      <w:r w:rsidRPr="00814262">
        <w:rPr>
          <w:rFonts w:ascii="Times New Roman" w:eastAsiaTheme="minorHAnsi" w:hAnsi="Times New Roman" w:cs="Times New Roman"/>
          <w:color w:val="000000"/>
          <w:sz w:val="24"/>
          <w:szCs w:val="24"/>
          <w:lang w:eastAsia="en-US"/>
        </w:rPr>
        <w:t xml:space="preserve">, the Commission </w:t>
      </w:r>
      <w:r w:rsidRPr="00814262">
        <w:rPr>
          <w:rFonts w:ascii="Times New Roman" w:eastAsia="Times New Roman" w:hAnsi="Times New Roman" w:cs="Times New Roman"/>
          <w:sz w:val="24"/>
          <w:szCs w:val="24"/>
        </w:rPr>
        <w:t>called for</w:t>
      </w:r>
      <w:r w:rsidRPr="00814262">
        <w:rPr>
          <w:rFonts w:ascii="Times New Roman" w:eastAsiaTheme="minorHAnsi" w:hAnsi="Times New Roman" w:cs="Times New Roman"/>
          <w:color w:val="000000"/>
          <w:sz w:val="24"/>
          <w:szCs w:val="24"/>
          <w:lang w:eastAsia="en-US"/>
        </w:rPr>
        <w:t xml:space="preserve"> a</w:t>
      </w:r>
      <w:r w:rsidRPr="00814262">
        <w:rPr>
          <w:rFonts w:ascii="Times New Roman" w:eastAsia="Times New Roman" w:hAnsi="Times New Roman" w:cs="Times New Roman"/>
          <w:sz w:val="24"/>
          <w:szCs w:val="24"/>
        </w:rPr>
        <w:t xml:space="preserve"> </w:t>
      </w:r>
      <w:r w:rsidRPr="00814262">
        <w:rPr>
          <w:rFonts w:ascii="Times New Roman" w:eastAsiaTheme="minorHAnsi" w:hAnsi="Times New Roman" w:cs="Times New Roman"/>
          <w:color w:val="000000"/>
          <w:sz w:val="24"/>
          <w:szCs w:val="24"/>
          <w:lang w:eastAsia="en-US"/>
        </w:rPr>
        <w:t xml:space="preserve">systematic health risk assessment, the standardisation of measures and the mainstreaming of adaptation and resilience policies to all sectors: </w:t>
      </w:r>
    </w:p>
    <w:p w14:paraId="21271387" w14:textId="77777777" w:rsidR="00A31CC3" w:rsidRDefault="00A31CC3" w:rsidP="00A31CC3">
      <w:pPr>
        <w:autoSpaceDE w:val="0"/>
        <w:autoSpaceDN w:val="0"/>
        <w:adjustRightInd w:val="0"/>
        <w:spacing w:after="0"/>
        <w:ind w:left="720"/>
        <w:jc w:val="both"/>
        <w:rPr>
          <w:rFonts w:ascii="Times New Roman" w:eastAsia="Times New Roman" w:hAnsi="Times New Roman" w:cs="Times New Roman"/>
          <w:sz w:val="24"/>
          <w:szCs w:val="24"/>
        </w:rPr>
      </w:pPr>
    </w:p>
    <w:p w14:paraId="7324F223" w14:textId="77777777" w:rsidR="00A31CC3" w:rsidRPr="004D4EBE" w:rsidRDefault="00A31CC3" w:rsidP="00A31CC3">
      <w:pPr>
        <w:autoSpaceDE w:val="0"/>
        <w:autoSpaceDN w:val="0"/>
        <w:adjustRightInd w:val="0"/>
        <w:spacing w:after="0"/>
        <w:ind w:left="720"/>
        <w:jc w:val="both"/>
        <w:rPr>
          <w:rFonts w:ascii="Times New Roman" w:eastAsiaTheme="minorHAnsi" w:hAnsi="Times New Roman" w:cs="Times New Roman"/>
          <w:color w:val="000000"/>
          <w:lang w:eastAsia="en-US"/>
        </w:rPr>
      </w:pPr>
      <w:r w:rsidRPr="004D4EBE">
        <w:rPr>
          <w:rFonts w:ascii="Times New Roman" w:eastAsiaTheme="minorHAnsi" w:hAnsi="Times New Roman" w:cs="Times New Roman"/>
          <w:color w:val="000000"/>
          <w:lang w:eastAsia="en-US"/>
        </w:rPr>
        <w:t>5. We need a deeper understanding of the climate-related risks for health and greater capacity to counter them. Climate change related health threats are increasing; they are serious and can only be addressed across borders. […] The  Commission  will  continue  to  actively  mainstream  climate  resilience considerations in all relevant policy fields applicable to both the public and the private sectors. (European Climate Adaptation Strategy 2021)</w:t>
      </w:r>
    </w:p>
    <w:p w14:paraId="6B6A2F95" w14:textId="77777777" w:rsidR="00A31CC3" w:rsidRPr="00814262" w:rsidRDefault="00A31CC3" w:rsidP="00A31CC3">
      <w:pPr>
        <w:autoSpaceDE w:val="0"/>
        <w:autoSpaceDN w:val="0"/>
        <w:adjustRightInd w:val="0"/>
        <w:spacing w:after="0" w:line="360" w:lineRule="auto"/>
        <w:rPr>
          <w:rFonts w:ascii="Times New Roman" w:eastAsiaTheme="minorHAnsi" w:hAnsi="Times New Roman" w:cs="Times New Roman"/>
          <w:color w:val="000000"/>
          <w:sz w:val="24"/>
          <w:szCs w:val="24"/>
          <w:lang w:eastAsia="en-US"/>
        </w:rPr>
      </w:pPr>
    </w:p>
    <w:p w14:paraId="63B06588" w14:textId="77777777" w:rsidR="00A31CC3" w:rsidRPr="00814262" w:rsidRDefault="00A31CC3" w:rsidP="00A31CC3">
      <w:pPr>
        <w:autoSpaceDE w:val="0"/>
        <w:autoSpaceDN w:val="0"/>
        <w:adjustRightInd w:val="0"/>
        <w:spacing w:after="0" w:line="360" w:lineRule="auto"/>
        <w:jc w:val="both"/>
        <w:rPr>
          <w:rFonts w:ascii="Times New Roman" w:eastAsiaTheme="minorHAnsi" w:hAnsi="Times New Roman" w:cs="Times New Roman"/>
          <w:color w:val="000000"/>
          <w:sz w:val="24"/>
          <w:szCs w:val="24"/>
          <w:lang w:eastAsia="en-US"/>
        </w:rPr>
      </w:pPr>
      <w:r w:rsidRPr="00814262">
        <w:rPr>
          <w:rFonts w:ascii="Times New Roman" w:eastAsiaTheme="minorHAnsi" w:hAnsi="Times New Roman" w:cs="Times New Roman"/>
          <w:color w:val="000000"/>
          <w:sz w:val="24"/>
          <w:szCs w:val="24"/>
          <w:lang w:eastAsia="en-US"/>
        </w:rPr>
        <w:t xml:space="preserve">As a consequence, with the </w:t>
      </w:r>
      <w:r w:rsidRPr="00814262">
        <w:rPr>
          <w:rFonts w:ascii="Times New Roman" w:eastAsiaTheme="minorHAnsi" w:hAnsi="Times New Roman" w:cs="Times New Roman"/>
          <w:i/>
          <w:color w:val="000000"/>
          <w:sz w:val="24"/>
          <w:szCs w:val="24"/>
          <w:lang w:eastAsia="en-US"/>
        </w:rPr>
        <w:t>Climate Pact</w:t>
      </w:r>
      <w:r w:rsidRPr="00814262">
        <w:rPr>
          <w:rFonts w:ascii="Times New Roman" w:eastAsiaTheme="minorHAnsi" w:hAnsi="Times New Roman" w:cs="Times New Roman"/>
          <w:color w:val="000000"/>
          <w:sz w:val="24"/>
          <w:szCs w:val="24"/>
          <w:lang w:eastAsia="en-US"/>
        </w:rPr>
        <w:t xml:space="preserve"> (2020), European citizens are tasked with taking responsibility, participating and cooperating. While, the actions of individual citizens within their material surroundings are recognised as being acted upon by those surroundings as much as acting on them, they have become responsible for health risks with the onus of adaptation, transition and resilience placed upon all citizens and institutions (</w:t>
      </w:r>
      <w:proofErr w:type="spellStart"/>
      <w:r w:rsidRPr="00814262">
        <w:rPr>
          <w:rFonts w:ascii="Times New Roman" w:eastAsiaTheme="minorHAnsi" w:hAnsi="Times New Roman" w:cs="Times New Roman"/>
          <w:color w:val="000000"/>
          <w:sz w:val="24"/>
          <w:szCs w:val="24"/>
          <w:lang w:eastAsia="en-US"/>
        </w:rPr>
        <w:t>Hultman</w:t>
      </w:r>
      <w:proofErr w:type="spellEnd"/>
      <w:r w:rsidRPr="00814262">
        <w:rPr>
          <w:rFonts w:ascii="Times New Roman" w:eastAsiaTheme="minorHAnsi" w:hAnsi="Times New Roman" w:cs="Times New Roman"/>
          <w:color w:val="000000"/>
          <w:sz w:val="24"/>
          <w:szCs w:val="24"/>
          <w:lang w:eastAsia="en-US"/>
        </w:rPr>
        <w:t xml:space="preserve"> and Lenz Taguchi, 2010</w:t>
      </w:r>
      <w:r w:rsidRPr="00A207CD">
        <w:rPr>
          <w:rFonts w:ascii="Times New Roman" w:eastAsiaTheme="minorHAnsi" w:hAnsi="Times New Roman" w:cs="Times New Roman"/>
          <w:color w:val="000000"/>
          <w:sz w:val="24"/>
          <w:szCs w:val="24"/>
          <w:lang w:eastAsia="en-US"/>
        </w:rPr>
        <w:t>). They can no longer avoid thinking about the interactions with the material, or elements of non-human nature</w:t>
      </w:r>
      <w:r>
        <w:rPr>
          <w:rFonts w:ascii="Times New Roman" w:eastAsiaTheme="minorHAnsi" w:hAnsi="Times New Roman" w:cs="Times New Roman"/>
          <w:color w:val="000000"/>
          <w:sz w:val="24"/>
          <w:szCs w:val="24"/>
          <w:lang w:eastAsia="en-US"/>
        </w:rPr>
        <w:t>:</w:t>
      </w:r>
    </w:p>
    <w:p w14:paraId="0133FCBC" w14:textId="77777777" w:rsidR="00A31CC3" w:rsidRPr="00814262" w:rsidRDefault="00A31CC3" w:rsidP="00A31CC3">
      <w:pPr>
        <w:autoSpaceDE w:val="0"/>
        <w:autoSpaceDN w:val="0"/>
        <w:adjustRightInd w:val="0"/>
        <w:spacing w:after="0"/>
        <w:jc w:val="both"/>
        <w:rPr>
          <w:rFonts w:ascii="Times New Roman" w:eastAsiaTheme="minorHAnsi" w:hAnsi="Times New Roman" w:cs="Times New Roman"/>
          <w:color w:val="000000"/>
          <w:sz w:val="24"/>
          <w:szCs w:val="24"/>
          <w:lang w:eastAsia="en-US"/>
        </w:rPr>
      </w:pPr>
    </w:p>
    <w:p w14:paraId="4273621B" w14:textId="77777777" w:rsidR="00A31CC3" w:rsidRPr="004D4EBE" w:rsidRDefault="00A31CC3" w:rsidP="00A31CC3">
      <w:pPr>
        <w:autoSpaceDE w:val="0"/>
        <w:autoSpaceDN w:val="0"/>
        <w:adjustRightInd w:val="0"/>
        <w:spacing w:after="0"/>
        <w:ind w:left="720"/>
        <w:jc w:val="both"/>
        <w:rPr>
          <w:rFonts w:ascii="Times New Roman" w:eastAsiaTheme="minorHAnsi" w:hAnsi="Times New Roman" w:cs="Times New Roman"/>
          <w:color w:val="000000"/>
          <w:lang w:eastAsia="en-US"/>
        </w:rPr>
      </w:pPr>
      <w:r w:rsidRPr="004D4EBE">
        <w:rPr>
          <w:rFonts w:ascii="Times New Roman" w:eastAsiaTheme="minorHAnsi" w:hAnsi="Times New Roman" w:cs="Times New Roman"/>
          <w:color w:val="000000"/>
          <w:lang w:eastAsia="en-US"/>
        </w:rPr>
        <w:t>6. For this, we have to speed up our efforts to repair the way we interact with  nature,  protect  people’s  health  and  well-being  from  climate and environment-related risks (</w:t>
      </w:r>
      <w:r w:rsidRPr="004D4EBE">
        <w:rPr>
          <w:rFonts w:ascii="Times New Roman" w:eastAsiaTheme="minorHAnsi" w:hAnsi="Times New Roman" w:cs="Times New Roman"/>
          <w:i/>
          <w:color w:val="000000"/>
          <w:lang w:eastAsia="en-US"/>
        </w:rPr>
        <w:t>European Climate Pact</w:t>
      </w:r>
      <w:r w:rsidRPr="004D4EBE">
        <w:rPr>
          <w:rFonts w:ascii="Times New Roman" w:eastAsiaTheme="minorHAnsi" w:hAnsi="Times New Roman" w:cs="Times New Roman"/>
          <w:color w:val="000000"/>
          <w:lang w:eastAsia="en-US"/>
        </w:rPr>
        <w:t xml:space="preserve"> 2021)</w:t>
      </w:r>
    </w:p>
    <w:p w14:paraId="5F878D49" w14:textId="77777777" w:rsidR="00A31CC3" w:rsidRPr="00814262" w:rsidRDefault="00A31CC3" w:rsidP="00A31CC3">
      <w:pPr>
        <w:autoSpaceDE w:val="0"/>
        <w:autoSpaceDN w:val="0"/>
        <w:adjustRightInd w:val="0"/>
        <w:spacing w:after="0" w:line="360" w:lineRule="auto"/>
        <w:jc w:val="both"/>
        <w:rPr>
          <w:rFonts w:ascii="Times New Roman" w:eastAsiaTheme="minorHAnsi" w:hAnsi="Times New Roman" w:cs="Times New Roman"/>
          <w:color w:val="000000"/>
          <w:sz w:val="24"/>
          <w:szCs w:val="24"/>
          <w:lang w:eastAsia="en-US"/>
        </w:rPr>
      </w:pPr>
    </w:p>
    <w:p w14:paraId="6E4408E7" w14:textId="77777777" w:rsidR="00A31CC3" w:rsidRPr="00814262" w:rsidRDefault="00A31CC3" w:rsidP="00A31CC3">
      <w:pPr>
        <w:autoSpaceDE w:val="0"/>
        <w:autoSpaceDN w:val="0"/>
        <w:adjustRightInd w:val="0"/>
        <w:spacing w:after="0" w:line="360" w:lineRule="auto"/>
        <w:jc w:val="both"/>
        <w:rPr>
          <w:rFonts w:ascii="Times New Roman" w:eastAsia="Times New Roman" w:hAnsi="Times New Roman" w:cs="Times New Roman"/>
          <w:color w:val="FF0000"/>
          <w:sz w:val="24"/>
          <w:szCs w:val="24"/>
        </w:rPr>
      </w:pPr>
      <w:r w:rsidRPr="00814262">
        <w:rPr>
          <w:rFonts w:ascii="Times New Roman" w:eastAsiaTheme="minorHAnsi" w:hAnsi="Times New Roman" w:cs="Times New Roman"/>
          <w:color w:val="000000"/>
          <w:sz w:val="24"/>
          <w:szCs w:val="24"/>
          <w:lang w:eastAsia="en-US"/>
        </w:rPr>
        <w:t xml:space="preserve">The recent covid-19 crisis has arguably demanded a reconceptualization of the environment, climate and health nexus which may be detected in the greater use of the term resilience. Yet, </w:t>
      </w:r>
      <w:r w:rsidRPr="00814262">
        <w:rPr>
          <w:rFonts w:ascii="Times New Roman" w:eastAsia="Times New Roman" w:hAnsi="Times New Roman" w:cs="Times New Roman"/>
          <w:sz w:val="24"/>
          <w:szCs w:val="24"/>
        </w:rPr>
        <w:t>the persistent use of abstract terms such ‘adaptation’, resilience’, ‘sustainability’ and ‘transition’ (see Table 2) is particularly interesting since environmental and climate scientists have often called for the avoidance of abstract terms, as they may hinder research-based decision making and the communication of consistent frameworks to stakeholders. Language items transferred from a more expected word class to another, such as the verbs ‘adapt’ or the adjective ‘resilient’ being transformed into the nouns ‘adaptation’ and ‘resilience’, are “theoretical constructs” which emerge in response to the needs of unfolding discourse and specific discourse communities, i.e. grammatical categories allow human experience to be transferred through language into shared knowledge (</w:t>
      </w:r>
      <w:proofErr w:type="spellStart"/>
      <w:r w:rsidRPr="00814262">
        <w:rPr>
          <w:rFonts w:ascii="Times New Roman" w:eastAsia="Times New Roman" w:hAnsi="Times New Roman" w:cs="Times New Roman"/>
          <w:sz w:val="24"/>
          <w:szCs w:val="24"/>
        </w:rPr>
        <w:t>Humbley</w:t>
      </w:r>
      <w:proofErr w:type="spellEnd"/>
      <w:r w:rsidRPr="00814262">
        <w:rPr>
          <w:rFonts w:ascii="Times New Roman" w:eastAsia="Times New Roman" w:hAnsi="Times New Roman" w:cs="Times New Roman"/>
          <w:sz w:val="24"/>
          <w:szCs w:val="24"/>
        </w:rPr>
        <w:t xml:space="preserve"> 2009, 8; </w:t>
      </w:r>
      <w:proofErr w:type="spellStart"/>
      <w:r w:rsidRPr="00814262">
        <w:rPr>
          <w:rFonts w:ascii="Times New Roman" w:eastAsia="Times New Roman" w:hAnsi="Times New Roman" w:cs="Times New Roman"/>
          <w:sz w:val="24"/>
          <w:szCs w:val="24"/>
        </w:rPr>
        <w:t>Semino</w:t>
      </w:r>
      <w:proofErr w:type="spellEnd"/>
      <w:r w:rsidRPr="00814262">
        <w:rPr>
          <w:rFonts w:ascii="Times New Roman" w:eastAsia="Times New Roman" w:hAnsi="Times New Roman" w:cs="Times New Roman"/>
          <w:sz w:val="24"/>
          <w:szCs w:val="24"/>
        </w:rPr>
        <w:t xml:space="preserve"> 2011).</w:t>
      </w:r>
      <w:r w:rsidRPr="00A207CD">
        <w:rPr>
          <w:rFonts w:ascii="Times New Roman" w:eastAsia="Times New Roman" w:hAnsi="Times New Roman" w:cs="Times New Roman"/>
          <w:sz w:val="24"/>
          <w:szCs w:val="24"/>
        </w:rPr>
        <w:t xml:space="preserve"> In the case of policy documents, they are characterized by a peculiar p</w:t>
      </w:r>
      <w:r w:rsidRPr="00ED5972">
        <w:rPr>
          <w:rFonts w:ascii="Times New Roman" w:eastAsia="Times New Roman" w:hAnsi="Times New Roman" w:cs="Times New Roman"/>
          <w:sz w:val="24"/>
          <w:szCs w:val="24"/>
        </w:rPr>
        <w:t xml:space="preserve">articipant framework in which political institutions describe their strategic response to a problem in the hope that it will reach a wider public. Accordingly, such terms may be viewed as bearing the imprint of social needs and </w:t>
      </w:r>
      <w:r w:rsidRPr="00ED5972">
        <w:rPr>
          <w:rFonts w:ascii="Times New Roman" w:eastAsia="Times New Roman" w:hAnsi="Times New Roman" w:cs="Times New Roman"/>
          <w:sz w:val="24"/>
          <w:szCs w:val="24"/>
        </w:rPr>
        <w:lastRenderedPageBreak/>
        <w:t>uses and as the creation of concepts which have become shared and may be drawn upon in making sense of the world</w:t>
      </w:r>
      <w:r w:rsidRPr="00020287">
        <w:rPr>
          <w:rFonts w:ascii="Times New Roman" w:eastAsia="Times New Roman" w:hAnsi="Times New Roman" w:cs="Times New Roman"/>
          <w:b/>
          <w:sz w:val="24"/>
          <w:szCs w:val="24"/>
        </w:rPr>
        <w:t xml:space="preserve">. </w:t>
      </w:r>
      <w:r w:rsidRPr="00AA5148">
        <w:rPr>
          <w:rFonts w:ascii="Times New Roman" w:eastAsia="Times New Roman" w:hAnsi="Times New Roman" w:cs="Times New Roman"/>
          <w:sz w:val="24"/>
          <w:szCs w:val="24"/>
        </w:rPr>
        <w:t>They are thus part of the “collective formation of argumentation” produced across networks of texts by political institutions such as the European Commission to engage th</w:t>
      </w:r>
      <w:r w:rsidRPr="00AC15D8">
        <w:rPr>
          <w:rFonts w:ascii="Times New Roman" w:eastAsia="Times New Roman" w:hAnsi="Times New Roman" w:cs="Times New Roman"/>
          <w:sz w:val="24"/>
          <w:szCs w:val="24"/>
        </w:rPr>
        <w:t xml:space="preserve">e public in debates over major social issues </w:t>
      </w:r>
      <w:r w:rsidRPr="00814262">
        <w:rPr>
          <w:rFonts w:ascii="Times New Roman" w:eastAsia="Times New Roman" w:hAnsi="Times New Roman" w:cs="Times New Roman"/>
          <w:sz w:val="24"/>
          <w:szCs w:val="24"/>
        </w:rPr>
        <w:t>(Smart 2011; Fairclough and Fairclough 2012).</w:t>
      </w:r>
      <w:r w:rsidRPr="00A207CD">
        <w:rPr>
          <w:rFonts w:ascii="Times New Roman" w:eastAsia="Times New Roman" w:hAnsi="Times New Roman" w:cs="Times New Roman"/>
          <w:sz w:val="24"/>
          <w:szCs w:val="24"/>
        </w:rPr>
        <w:t xml:space="preserve"> Yet, as </w:t>
      </w:r>
      <w:proofErr w:type="spellStart"/>
      <w:r w:rsidRPr="00814262">
        <w:rPr>
          <w:rFonts w:ascii="Times New Roman" w:eastAsia="Times New Roman" w:hAnsi="Times New Roman" w:cs="Times New Roman"/>
          <w:sz w:val="24"/>
          <w:szCs w:val="24"/>
        </w:rPr>
        <w:t>Semino</w:t>
      </w:r>
      <w:proofErr w:type="spellEnd"/>
      <w:r w:rsidRPr="00814262">
        <w:rPr>
          <w:rFonts w:ascii="Times New Roman" w:eastAsia="Times New Roman" w:hAnsi="Times New Roman" w:cs="Times New Roman"/>
          <w:sz w:val="24"/>
          <w:szCs w:val="24"/>
        </w:rPr>
        <w:t xml:space="preserve"> (2011)</w:t>
      </w:r>
      <w:r w:rsidRPr="00A207CD">
        <w:rPr>
          <w:rFonts w:ascii="Times New Roman" w:eastAsia="Times New Roman" w:hAnsi="Times New Roman" w:cs="Times New Roman"/>
          <w:sz w:val="24"/>
          <w:szCs w:val="24"/>
        </w:rPr>
        <w:t xml:space="preserve"> notes in relation to the use of grammatical metaphors in science, when certain terms become the dominant way of thinking about a phenomenon it </w:t>
      </w:r>
      <w:r w:rsidRPr="00ED5972">
        <w:rPr>
          <w:rFonts w:ascii="Times New Roman" w:eastAsia="Times New Roman" w:hAnsi="Times New Roman" w:cs="Times New Roman"/>
          <w:sz w:val="24"/>
          <w:szCs w:val="24"/>
        </w:rPr>
        <w:t>may become very difficult to contest it, since it becomes common sense and involves simpliﬁcation and some degree of imprecision, vagueness, and ambiguity</w:t>
      </w:r>
      <w:r w:rsidRPr="00020287">
        <w:rPr>
          <w:rFonts w:ascii="Times New Roman" w:eastAsia="Times New Roman" w:hAnsi="Times New Roman" w:cs="Times New Roman"/>
          <w:sz w:val="24"/>
          <w:szCs w:val="24"/>
        </w:rPr>
        <w:t xml:space="preserve">. Such nominalizations may have hidden ideological connotations due to </w:t>
      </w:r>
      <w:r w:rsidRPr="00AA5148">
        <w:rPr>
          <w:rFonts w:ascii="Times New Roman" w:eastAsia="Times New Roman" w:hAnsi="Times New Roman" w:cs="Times New Roman"/>
          <w:sz w:val="24"/>
          <w:szCs w:val="24"/>
        </w:rPr>
        <w:t xml:space="preserve">their </w:t>
      </w:r>
      <w:r w:rsidRPr="00AC15D8">
        <w:rPr>
          <w:rFonts w:ascii="Times New Roman" w:eastAsia="Times New Roman" w:hAnsi="Times New Roman" w:cs="Times New Roman"/>
          <w:sz w:val="24"/>
          <w:szCs w:val="24"/>
        </w:rPr>
        <w:t>conceal</w:t>
      </w:r>
      <w:r w:rsidRPr="00A44750">
        <w:rPr>
          <w:rFonts w:ascii="Times New Roman" w:eastAsia="Times New Roman" w:hAnsi="Times New Roman" w:cs="Times New Roman"/>
          <w:sz w:val="24"/>
          <w:szCs w:val="24"/>
        </w:rPr>
        <w:t>ment of</w:t>
      </w:r>
      <w:r w:rsidRPr="00814262">
        <w:rPr>
          <w:rFonts w:ascii="Times New Roman" w:eastAsia="Times New Roman" w:hAnsi="Times New Roman" w:cs="Times New Roman"/>
          <w:sz w:val="24"/>
          <w:szCs w:val="24"/>
        </w:rPr>
        <w:t xml:space="preserve"> social actors and concrete health-related needs. </w:t>
      </w:r>
      <w:bookmarkStart w:id="2" w:name="_Hlk86500559"/>
      <w:r w:rsidRPr="00814262">
        <w:rPr>
          <w:rFonts w:ascii="Times New Roman" w:eastAsia="Times New Roman" w:hAnsi="Times New Roman" w:cs="Times New Roman"/>
          <w:sz w:val="24"/>
          <w:szCs w:val="24"/>
        </w:rPr>
        <w:t>Hence, the choice of abstract terms in regard to health-related solutions may be regarded as a persuasive “rhetorical device” (</w:t>
      </w:r>
      <w:proofErr w:type="spellStart"/>
      <w:r w:rsidRPr="00814262">
        <w:rPr>
          <w:rFonts w:ascii="Times New Roman" w:eastAsia="Times New Roman" w:hAnsi="Times New Roman" w:cs="Times New Roman"/>
          <w:sz w:val="24"/>
          <w:szCs w:val="24"/>
        </w:rPr>
        <w:t>Pecman</w:t>
      </w:r>
      <w:proofErr w:type="spellEnd"/>
      <w:r w:rsidRPr="00814262">
        <w:rPr>
          <w:rFonts w:ascii="Times New Roman" w:eastAsia="Times New Roman" w:hAnsi="Times New Roman" w:cs="Times New Roman"/>
          <w:sz w:val="24"/>
          <w:szCs w:val="24"/>
        </w:rPr>
        <w:t xml:space="preserve"> 2012)</w:t>
      </w:r>
      <w:r w:rsidRPr="00A207CD">
        <w:rPr>
          <w:rFonts w:ascii="Times New Roman" w:eastAsia="Times New Roman" w:hAnsi="Times New Roman" w:cs="Times New Roman"/>
          <w:sz w:val="24"/>
          <w:szCs w:val="24"/>
        </w:rPr>
        <w:t xml:space="preserve"> for identity and community building which largely </w:t>
      </w:r>
      <w:r w:rsidRPr="00ED5972">
        <w:rPr>
          <w:rFonts w:ascii="Times New Roman" w:eastAsia="Times New Roman" w:hAnsi="Times New Roman" w:cs="Times New Roman"/>
          <w:sz w:val="24"/>
          <w:szCs w:val="24"/>
        </w:rPr>
        <w:t>‘assumes</w:t>
      </w:r>
      <w:r w:rsidRPr="00020287">
        <w:rPr>
          <w:rFonts w:ascii="Times New Roman" w:eastAsia="Times New Roman" w:hAnsi="Times New Roman" w:cs="Times New Roman"/>
          <w:sz w:val="24"/>
          <w:szCs w:val="24"/>
        </w:rPr>
        <w:t>’</w:t>
      </w:r>
      <w:r w:rsidRPr="00AA5148">
        <w:rPr>
          <w:rFonts w:ascii="Times New Roman" w:eastAsia="Times New Roman" w:hAnsi="Times New Roman" w:cs="Times New Roman"/>
          <w:sz w:val="24"/>
          <w:szCs w:val="24"/>
        </w:rPr>
        <w:t xml:space="preserve"> the ro</w:t>
      </w:r>
      <w:r w:rsidRPr="00AC15D8">
        <w:rPr>
          <w:rFonts w:ascii="Times New Roman" w:eastAsia="Times New Roman" w:hAnsi="Times New Roman" w:cs="Times New Roman"/>
          <w:sz w:val="24"/>
          <w:szCs w:val="24"/>
        </w:rPr>
        <w:t>le of the EU and idealized policies through abstraction</w:t>
      </w:r>
      <w:r w:rsidRPr="00A44750">
        <w:rPr>
          <w:rFonts w:ascii="Times New Roman" w:eastAsia="Times New Roman" w:hAnsi="Times New Roman" w:cs="Times New Roman"/>
          <w:sz w:val="24"/>
          <w:szCs w:val="24"/>
        </w:rPr>
        <w:t xml:space="preserve">, while being vague and avoiding concrete issues such as financing and </w:t>
      </w:r>
      <w:r w:rsidRPr="00814262">
        <w:rPr>
          <w:rFonts w:ascii="Times New Roman" w:eastAsia="Times New Roman" w:hAnsi="Times New Roman" w:cs="Times New Roman"/>
          <w:sz w:val="24"/>
          <w:szCs w:val="24"/>
        </w:rPr>
        <w:t xml:space="preserve">referencing of affected populations </w:t>
      </w:r>
      <w:bookmarkEnd w:id="2"/>
      <w:r w:rsidRPr="00814262">
        <w:rPr>
          <w:rFonts w:ascii="Times New Roman" w:eastAsia="Times New Roman" w:hAnsi="Times New Roman" w:cs="Times New Roman"/>
          <w:sz w:val="24"/>
          <w:szCs w:val="24"/>
        </w:rPr>
        <w:t>(Russo 2018</w:t>
      </w:r>
      <w:r w:rsidRPr="00A207CD">
        <w:rPr>
          <w:rFonts w:ascii="Times New Roman" w:eastAsia="Times New Roman" w:hAnsi="Times New Roman" w:cs="Times New Roman"/>
          <w:sz w:val="24"/>
          <w:szCs w:val="24"/>
        </w:rPr>
        <w:t>). Upon reflection</w:t>
      </w:r>
      <w:r w:rsidRPr="00FA2912">
        <w:rPr>
          <w:rFonts w:ascii="Times New Roman" w:eastAsia="Times New Roman" w:hAnsi="Times New Roman" w:cs="Times New Roman"/>
          <w:sz w:val="24"/>
          <w:szCs w:val="24"/>
        </w:rPr>
        <w:t>, they may be related to the ideological tendency of grammatical metaphors to “provide excellent linguistic resources for those who wish to replace actual concrete processes, identities and settings with abstractions” resulting in the ideological concealmen</w:t>
      </w:r>
      <w:r w:rsidRPr="00ED5972">
        <w:rPr>
          <w:rFonts w:ascii="Times New Roman" w:eastAsia="Times New Roman" w:hAnsi="Times New Roman" w:cs="Times New Roman"/>
          <w:sz w:val="24"/>
          <w:szCs w:val="24"/>
        </w:rPr>
        <w:t xml:space="preserve">t of social actors and concrete needs, but at the same inspiring and bringing together alternative viewpoints and creating middle-of-the ground solutions </w:t>
      </w:r>
      <w:r w:rsidRPr="00814262">
        <w:rPr>
          <w:rFonts w:ascii="Times New Roman" w:eastAsia="Times New Roman" w:hAnsi="Times New Roman" w:cs="Times New Roman"/>
          <w:sz w:val="24"/>
          <w:szCs w:val="24"/>
        </w:rPr>
        <w:t xml:space="preserve">(Machin and Mayr, 2012: 164). </w:t>
      </w:r>
    </w:p>
    <w:p w14:paraId="43166886" w14:textId="77777777" w:rsidR="00A31CC3" w:rsidRPr="00814262" w:rsidRDefault="00A31CC3" w:rsidP="00A31CC3">
      <w:pPr>
        <w:autoSpaceDE w:val="0"/>
        <w:autoSpaceDN w:val="0"/>
        <w:adjustRightInd w:val="0"/>
        <w:spacing w:after="0" w:line="360" w:lineRule="auto"/>
        <w:rPr>
          <w:rFonts w:ascii="Times New Roman" w:eastAsiaTheme="minorHAnsi" w:hAnsi="Times New Roman" w:cs="Times New Roman"/>
          <w:color w:val="000000"/>
          <w:sz w:val="24"/>
          <w:szCs w:val="24"/>
          <w:lang w:eastAsia="en-US"/>
        </w:rPr>
      </w:pPr>
    </w:p>
    <w:p w14:paraId="4DB4B804" w14:textId="77777777" w:rsidR="00A31CC3" w:rsidRPr="00814262" w:rsidRDefault="00A31CC3" w:rsidP="00A31CC3">
      <w:pPr>
        <w:spacing w:before="240" w:after="0"/>
        <w:jc w:val="both"/>
        <w:rPr>
          <w:rFonts w:ascii="Times New Roman" w:eastAsia="Times New Roman" w:hAnsi="Times New Roman" w:cs="Times New Roman"/>
          <w:b/>
          <w:bCs/>
          <w:sz w:val="24"/>
          <w:szCs w:val="24"/>
        </w:rPr>
      </w:pPr>
      <w:r w:rsidRPr="00814262">
        <w:rPr>
          <w:rFonts w:ascii="Times New Roman" w:eastAsia="Times New Roman" w:hAnsi="Times New Roman" w:cs="Times New Roman"/>
          <w:b/>
          <w:bCs/>
          <w:color w:val="262626" w:themeColor="text1" w:themeTint="D9"/>
          <w:sz w:val="24"/>
          <w:szCs w:val="24"/>
        </w:rPr>
        <w:t xml:space="preserve">5. ‘We are One Health’: </w:t>
      </w:r>
      <w:r w:rsidRPr="00814262">
        <w:rPr>
          <w:rFonts w:ascii="Times New Roman" w:eastAsia="Times New Roman" w:hAnsi="Times New Roman" w:cs="Times New Roman"/>
          <w:b/>
          <w:bCs/>
          <w:sz w:val="24"/>
          <w:szCs w:val="24"/>
        </w:rPr>
        <w:t>Legitimizing action at the interface between environment/climate and health in EU communication</w:t>
      </w:r>
    </w:p>
    <w:p w14:paraId="29045B67" w14:textId="77777777" w:rsidR="00A31CC3" w:rsidRPr="00814262" w:rsidRDefault="00A31CC3" w:rsidP="00A31CC3">
      <w:pPr>
        <w:spacing w:before="240" w:after="0"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t xml:space="preserve">Although the analysis of policy documents provides a useful window into the specialized domain of discourse under investigation, a close scrutiny of how policies and proposals are communicated in the public sphere is also critical in order to gain a deeper insight into the issues at stake. Unlike policy documents, in fact, political communication genres such as press releases, political speeches, and statements entail public actors articulating preference-driven policy action(s) by appealing to beliefs, norms and values (Cap and </w:t>
      </w:r>
      <w:proofErr w:type="spellStart"/>
      <w:r w:rsidRPr="00814262">
        <w:rPr>
          <w:rFonts w:ascii="Times New Roman" w:eastAsia="Times New Roman" w:hAnsi="Times New Roman" w:cs="Times New Roman"/>
          <w:sz w:val="24"/>
          <w:szCs w:val="24"/>
        </w:rPr>
        <w:t>Okulska</w:t>
      </w:r>
      <w:proofErr w:type="spellEnd"/>
      <w:r w:rsidRPr="00814262">
        <w:rPr>
          <w:rFonts w:ascii="Times New Roman" w:eastAsia="Times New Roman" w:hAnsi="Times New Roman" w:cs="Times New Roman"/>
          <w:sz w:val="24"/>
          <w:szCs w:val="24"/>
        </w:rPr>
        <w:t xml:space="preserve"> 2013). In this light, decision-making is recontextualised and incorporated into the communication genres with the aim of legitimizing actions and reaching/persuading wider audiences. In the specific case of the European Commission, speeches may be considered as a distinctive “visionary or speculative” sub-genre of consensus-oriented political communication (</w:t>
      </w:r>
      <w:proofErr w:type="spellStart"/>
      <w:r w:rsidRPr="00814262">
        <w:rPr>
          <w:rFonts w:ascii="Times New Roman" w:eastAsia="Times New Roman" w:hAnsi="Times New Roman" w:cs="Times New Roman"/>
          <w:sz w:val="24"/>
          <w:szCs w:val="24"/>
        </w:rPr>
        <w:t>Wodak</w:t>
      </w:r>
      <w:proofErr w:type="spellEnd"/>
      <w:r w:rsidRPr="00814262">
        <w:rPr>
          <w:rFonts w:ascii="Times New Roman" w:eastAsia="Times New Roman" w:hAnsi="Times New Roman" w:cs="Times New Roman"/>
          <w:sz w:val="24"/>
          <w:szCs w:val="24"/>
        </w:rPr>
        <w:t xml:space="preserve"> and Weiss, 2004: 235-242)</w:t>
      </w:r>
      <w:r w:rsidRPr="00A207CD">
        <w:rPr>
          <w:rFonts w:ascii="Times New Roman" w:eastAsia="Times New Roman" w:hAnsi="Times New Roman" w:cs="Times New Roman"/>
          <w:sz w:val="24"/>
          <w:szCs w:val="24"/>
        </w:rPr>
        <w:t>, which is geared towards envisioning a certain future</w:t>
      </w:r>
      <w:r w:rsidRPr="00814262">
        <w:rPr>
          <w:rFonts w:ascii="Times New Roman" w:eastAsia="Times New Roman" w:hAnsi="Times New Roman" w:cs="Times New Roman"/>
          <w:sz w:val="24"/>
          <w:szCs w:val="24"/>
        </w:rPr>
        <w:t xml:space="preserve"> and offering solutions on how to govern it. This appears to subsume an ability to explain, justify or legitimize a course of action according to specific interests and certain norms and </w:t>
      </w:r>
      <w:r w:rsidRPr="00814262">
        <w:rPr>
          <w:rFonts w:ascii="Times New Roman" w:eastAsia="Times New Roman" w:hAnsi="Times New Roman" w:cs="Times New Roman"/>
          <w:sz w:val="24"/>
          <w:szCs w:val="24"/>
        </w:rPr>
        <w:lastRenderedPageBreak/>
        <w:t xml:space="preserve">principles – or what in </w:t>
      </w:r>
      <w:proofErr w:type="spellStart"/>
      <w:r w:rsidRPr="00814262">
        <w:rPr>
          <w:rFonts w:ascii="Times New Roman" w:eastAsia="Times New Roman" w:hAnsi="Times New Roman" w:cs="Times New Roman"/>
          <w:sz w:val="24"/>
          <w:szCs w:val="24"/>
        </w:rPr>
        <w:t>Habermasian</w:t>
      </w:r>
      <w:proofErr w:type="spellEnd"/>
      <w:r w:rsidRPr="00814262">
        <w:rPr>
          <w:rFonts w:ascii="Times New Roman" w:eastAsia="Times New Roman" w:hAnsi="Times New Roman" w:cs="Times New Roman"/>
          <w:sz w:val="24"/>
          <w:szCs w:val="24"/>
        </w:rPr>
        <w:t xml:space="preserve"> terms would be defined as public reason-giving (Habermas, 1993</w:t>
      </w:r>
      <w:r w:rsidRPr="00A207CD">
        <w:rPr>
          <w:rFonts w:ascii="Times New Roman" w:eastAsia="Times New Roman" w:hAnsi="Times New Roman" w:cs="Times New Roman"/>
          <w:sz w:val="24"/>
          <w:szCs w:val="24"/>
        </w:rPr>
        <w:t xml:space="preserve">). </w:t>
      </w:r>
      <w:r w:rsidRPr="00814262">
        <w:rPr>
          <w:rFonts w:ascii="Times New Roman" w:eastAsia="Times New Roman" w:hAnsi="Times New Roman" w:cs="Times New Roman"/>
          <w:sz w:val="24"/>
          <w:szCs w:val="24"/>
        </w:rPr>
        <w:t xml:space="preserve">Yet it also functions rhetorically to align different  addressees with that vision. </w:t>
      </w:r>
    </w:p>
    <w:p w14:paraId="2733521D" w14:textId="77777777" w:rsidR="00A31CC3" w:rsidRPr="00814262" w:rsidRDefault="00A31CC3" w:rsidP="00A31CC3">
      <w:pPr>
        <w:spacing w:before="240" w:after="0"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t>While previous work on legitimation and consensus-building strategies in EU institutional discourse has mainly focussed on aspects of EU policy and government (</w:t>
      </w:r>
      <w:proofErr w:type="spellStart"/>
      <w:r w:rsidRPr="00814262">
        <w:rPr>
          <w:rFonts w:ascii="Times New Roman" w:eastAsia="Times New Roman" w:hAnsi="Times New Roman" w:cs="Times New Roman"/>
          <w:sz w:val="24"/>
          <w:szCs w:val="24"/>
        </w:rPr>
        <w:t>Oberhuber</w:t>
      </w:r>
      <w:proofErr w:type="spellEnd"/>
      <w:r w:rsidRPr="00814262">
        <w:rPr>
          <w:rFonts w:ascii="Times New Roman" w:eastAsia="Times New Roman" w:hAnsi="Times New Roman" w:cs="Times New Roman"/>
          <w:sz w:val="24"/>
          <w:szCs w:val="24"/>
        </w:rPr>
        <w:t xml:space="preserve"> and </w:t>
      </w:r>
      <w:proofErr w:type="spellStart"/>
      <w:r w:rsidRPr="00814262">
        <w:rPr>
          <w:rFonts w:ascii="Times New Roman" w:eastAsia="Times New Roman" w:hAnsi="Times New Roman" w:cs="Times New Roman"/>
          <w:sz w:val="24"/>
          <w:szCs w:val="24"/>
        </w:rPr>
        <w:t>Krzyżanowski</w:t>
      </w:r>
      <w:proofErr w:type="spellEnd"/>
      <w:r w:rsidRPr="00814262">
        <w:rPr>
          <w:rFonts w:ascii="Times New Roman" w:eastAsia="Times New Roman" w:hAnsi="Times New Roman" w:cs="Times New Roman"/>
          <w:sz w:val="24"/>
          <w:szCs w:val="24"/>
        </w:rPr>
        <w:t xml:space="preserve"> 2007</w:t>
      </w:r>
      <w:r w:rsidRPr="00A207CD">
        <w:rPr>
          <w:rFonts w:ascii="Times New Roman" w:eastAsia="Times New Roman" w:hAnsi="Times New Roman" w:cs="Times New Roman"/>
          <w:sz w:val="24"/>
          <w:szCs w:val="24"/>
        </w:rPr>
        <w:t xml:space="preserve">) and on EU identity </w:t>
      </w:r>
      <w:r w:rsidRPr="00FA2912">
        <w:rPr>
          <w:rFonts w:ascii="Times New Roman" w:eastAsia="Times New Roman" w:hAnsi="Times New Roman" w:cs="Times New Roman"/>
          <w:sz w:val="24"/>
          <w:szCs w:val="24"/>
        </w:rPr>
        <w:t>construction and representation (</w:t>
      </w:r>
      <w:proofErr w:type="spellStart"/>
      <w:r w:rsidRPr="00814262">
        <w:rPr>
          <w:rFonts w:ascii="Times New Roman" w:eastAsia="Times New Roman" w:hAnsi="Times New Roman" w:cs="Times New Roman"/>
          <w:sz w:val="24"/>
          <w:szCs w:val="24"/>
        </w:rPr>
        <w:t>Wodak</w:t>
      </w:r>
      <w:proofErr w:type="spellEnd"/>
      <w:r w:rsidRPr="00814262">
        <w:rPr>
          <w:rFonts w:ascii="Times New Roman" w:eastAsia="Times New Roman" w:hAnsi="Times New Roman" w:cs="Times New Roman"/>
          <w:sz w:val="24"/>
          <w:szCs w:val="24"/>
        </w:rPr>
        <w:t xml:space="preserve"> and Weiss 2004</w:t>
      </w:r>
      <w:r w:rsidRPr="00A207CD">
        <w:rPr>
          <w:rFonts w:ascii="Times New Roman" w:eastAsia="Times New Roman" w:hAnsi="Times New Roman" w:cs="Times New Roman"/>
          <w:sz w:val="24"/>
          <w:szCs w:val="24"/>
        </w:rPr>
        <w:t xml:space="preserve">), our aim is to provide a complementary perspective </w:t>
      </w:r>
      <w:r w:rsidRPr="00ED5972">
        <w:rPr>
          <w:rFonts w:ascii="Times New Roman" w:eastAsia="Times New Roman" w:hAnsi="Times New Roman" w:cs="Times New Roman"/>
          <w:sz w:val="24"/>
          <w:szCs w:val="24"/>
        </w:rPr>
        <w:t xml:space="preserve">to the analysis of policy documents </w:t>
      </w:r>
      <w:r w:rsidRPr="00020287">
        <w:rPr>
          <w:rFonts w:ascii="Times New Roman" w:eastAsia="Times New Roman" w:hAnsi="Times New Roman" w:cs="Times New Roman"/>
          <w:sz w:val="24"/>
          <w:szCs w:val="24"/>
        </w:rPr>
        <w:t>(</w:t>
      </w:r>
      <w:r w:rsidRPr="00AA5148">
        <w:rPr>
          <w:rFonts w:ascii="Times New Roman" w:eastAsia="Times New Roman" w:hAnsi="Times New Roman" w:cs="Times New Roman"/>
          <w:sz w:val="24"/>
          <w:szCs w:val="24"/>
        </w:rPr>
        <w:t xml:space="preserve">see </w:t>
      </w:r>
      <w:r w:rsidRPr="00AC15D8">
        <w:rPr>
          <w:rFonts w:ascii="Times New Roman" w:eastAsia="Times New Roman" w:hAnsi="Times New Roman" w:cs="Times New Roman"/>
          <w:sz w:val="24"/>
          <w:szCs w:val="24"/>
        </w:rPr>
        <w:t>S</w:t>
      </w:r>
      <w:r w:rsidRPr="00A44750">
        <w:rPr>
          <w:rFonts w:ascii="Times New Roman" w:eastAsia="Times New Roman" w:hAnsi="Times New Roman" w:cs="Times New Roman"/>
          <w:sz w:val="24"/>
          <w:szCs w:val="24"/>
        </w:rPr>
        <w:t>ection 4</w:t>
      </w:r>
      <w:r w:rsidRPr="00814262">
        <w:rPr>
          <w:rFonts w:ascii="Times New Roman" w:eastAsia="Times New Roman" w:hAnsi="Times New Roman" w:cs="Times New Roman"/>
          <w:sz w:val="24"/>
          <w:szCs w:val="24"/>
        </w:rPr>
        <w:t xml:space="preserve">) by turning to the investigation of key legitimation strategies in this specific domain. In order to do so, a new list of keywords was extracted by comparing the two </w:t>
      </w:r>
      <w:proofErr w:type="spellStart"/>
      <w:r w:rsidRPr="00814262">
        <w:rPr>
          <w:rFonts w:ascii="Times New Roman" w:eastAsia="Times New Roman" w:hAnsi="Times New Roman" w:cs="Times New Roman"/>
          <w:sz w:val="24"/>
          <w:szCs w:val="24"/>
        </w:rPr>
        <w:t>subcorpora</w:t>
      </w:r>
      <w:proofErr w:type="spellEnd"/>
      <w:r w:rsidRPr="00814262">
        <w:rPr>
          <w:rFonts w:ascii="Times New Roman" w:eastAsia="Times New Roman" w:hAnsi="Times New Roman" w:cs="Times New Roman"/>
          <w:sz w:val="24"/>
          <w:szCs w:val="24"/>
        </w:rPr>
        <w:t xml:space="preserve"> – i.e. the policy communication </w:t>
      </w:r>
      <w:proofErr w:type="spellStart"/>
      <w:r w:rsidRPr="00814262">
        <w:rPr>
          <w:rFonts w:ascii="Times New Roman" w:eastAsia="Times New Roman" w:hAnsi="Times New Roman" w:cs="Times New Roman"/>
          <w:sz w:val="24"/>
          <w:szCs w:val="24"/>
        </w:rPr>
        <w:t>subcorpus</w:t>
      </w:r>
      <w:proofErr w:type="spellEnd"/>
      <w:r w:rsidRPr="00814262">
        <w:rPr>
          <w:rFonts w:ascii="Times New Roman" w:eastAsia="Times New Roman" w:hAnsi="Times New Roman" w:cs="Times New Roman"/>
          <w:sz w:val="24"/>
          <w:szCs w:val="24"/>
        </w:rPr>
        <w:t xml:space="preserve"> against the policy </w:t>
      </w:r>
      <w:proofErr w:type="spellStart"/>
      <w:r w:rsidRPr="00814262">
        <w:rPr>
          <w:rFonts w:ascii="Times New Roman" w:eastAsia="Times New Roman" w:hAnsi="Times New Roman" w:cs="Times New Roman"/>
          <w:sz w:val="24"/>
          <w:szCs w:val="24"/>
        </w:rPr>
        <w:t>subcorpus</w:t>
      </w:r>
      <w:proofErr w:type="spellEnd"/>
      <w:r w:rsidRPr="00814262">
        <w:rPr>
          <w:rFonts w:ascii="Times New Roman" w:eastAsia="Times New Roman" w:hAnsi="Times New Roman" w:cs="Times New Roman"/>
          <w:sz w:val="24"/>
          <w:szCs w:val="24"/>
        </w:rPr>
        <w:t xml:space="preserve"> - to identify differences and similarities between them, triangulating between quantitative data, close reading of texts and the wider institutional and socio-political context. </w:t>
      </w:r>
    </w:p>
    <w:p w14:paraId="76E1F840" w14:textId="77777777" w:rsidR="00A31CC3" w:rsidRPr="00814262" w:rsidRDefault="00A31CC3" w:rsidP="00A31CC3">
      <w:pPr>
        <w:spacing w:before="240" w:after="0"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t>The analysis of the keyword list provided a first line of analysis as it showed a prevailing use of deictic resources; this is perhaps unsurprising since most part of political communication tends to function indexically to enact social and political affiliation (Cap 2017: 13).</w:t>
      </w:r>
      <w:r w:rsidRPr="00A207CD">
        <w:rPr>
          <w:rFonts w:ascii="Times New Roman" w:eastAsia="Times New Roman" w:hAnsi="Times New Roman" w:cs="Times New Roman"/>
          <w:sz w:val="24"/>
          <w:szCs w:val="24"/>
        </w:rPr>
        <w:t xml:space="preserve"> Preferred pronominal choices point to the ‘we-group’ with</w:t>
      </w:r>
      <w:r w:rsidRPr="00ED5972">
        <w:rPr>
          <w:rFonts w:ascii="Times New Roman" w:eastAsia="Times New Roman" w:hAnsi="Times New Roman" w:cs="Times New Roman"/>
          <w:sz w:val="24"/>
          <w:szCs w:val="24"/>
        </w:rPr>
        <w:t xml:space="preserve"> ‘</w:t>
      </w:r>
      <w:r w:rsidRPr="00020287">
        <w:rPr>
          <w:rFonts w:ascii="Times New Roman" w:eastAsia="Times New Roman" w:hAnsi="Times New Roman" w:cs="Times New Roman"/>
          <w:sz w:val="24"/>
          <w:szCs w:val="24"/>
        </w:rPr>
        <w:t>we</w:t>
      </w:r>
      <w:r w:rsidRPr="00AA5148">
        <w:rPr>
          <w:rFonts w:ascii="Times New Roman" w:eastAsia="Times New Roman" w:hAnsi="Times New Roman" w:cs="Times New Roman"/>
          <w:sz w:val="24"/>
          <w:szCs w:val="24"/>
        </w:rPr>
        <w:t>’</w:t>
      </w:r>
      <w:r w:rsidRPr="00AC15D8">
        <w:rPr>
          <w:rFonts w:ascii="Times New Roman" w:eastAsia="Times New Roman" w:hAnsi="Times New Roman" w:cs="Times New Roman"/>
          <w:sz w:val="24"/>
          <w:szCs w:val="24"/>
        </w:rPr>
        <w:t xml:space="preserve"> and </w:t>
      </w:r>
      <w:r w:rsidRPr="00A44750">
        <w:rPr>
          <w:rFonts w:ascii="Times New Roman" w:eastAsia="Times New Roman" w:hAnsi="Times New Roman" w:cs="Times New Roman"/>
          <w:sz w:val="24"/>
          <w:szCs w:val="24"/>
        </w:rPr>
        <w:t>‘</w:t>
      </w:r>
      <w:r w:rsidRPr="00814262">
        <w:rPr>
          <w:rFonts w:ascii="Times New Roman" w:eastAsia="Times New Roman" w:hAnsi="Times New Roman" w:cs="Times New Roman"/>
          <w:sz w:val="24"/>
          <w:szCs w:val="24"/>
        </w:rPr>
        <w:t>our’ as the two top ranking keywords, followed by the first and second personal pronouns ‘I’ and ‘you’, alongside items expressing temporal and spatial deixis (today, now - here).</w:t>
      </w:r>
    </w:p>
    <w:p w14:paraId="55FDA7A9" w14:textId="77777777" w:rsidR="00A31CC3" w:rsidRPr="004D4EBE" w:rsidRDefault="00A31CC3" w:rsidP="00A31CC3">
      <w:pPr>
        <w:spacing w:before="240" w:after="0"/>
        <w:ind w:left="720"/>
        <w:jc w:val="both"/>
        <w:rPr>
          <w:rFonts w:ascii="Times New Roman" w:eastAsia="Times New Roman" w:hAnsi="Times New Roman" w:cs="Times New Roman"/>
        </w:rPr>
      </w:pPr>
      <w:r w:rsidRPr="004D4EBE">
        <w:rPr>
          <w:rFonts w:ascii="Times New Roman" w:eastAsia="Times New Roman" w:hAnsi="Times New Roman" w:cs="Times New Roman"/>
        </w:rPr>
        <w:t>7. Today, we are therefore looking further ahead – towards 2050 and towards a climate neutral Europe – not only to contribute but to lead on the Paris' goals. (SP 28/11/2018)</w:t>
      </w:r>
    </w:p>
    <w:p w14:paraId="7F15D455" w14:textId="77777777" w:rsidR="00A31CC3" w:rsidRPr="00814262" w:rsidRDefault="00A31CC3" w:rsidP="00A31CC3">
      <w:pPr>
        <w:spacing w:before="240" w:after="0"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t xml:space="preserve">However, other frequent lexical items such as ‘Europe’ and the ‘EU’ work as referential strategies in the construction of social actors. Taking ‘Europe’ as an entry point into discourse, an analysis of its collocates shows that </w:t>
      </w:r>
      <w:r w:rsidRPr="00814262">
        <w:rPr>
          <w:rFonts w:ascii="Times New Roman" w:eastAsia="Times New Roman" w:hAnsi="Times New Roman" w:cs="Times New Roman"/>
          <w:i/>
          <w:iCs/>
          <w:sz w:val="24"/>
          <w:szCs w:val="24"/>
        </w:rPr>
        <w:t xml:space="preserve">lead </w:t>
      </w:r>
      <w:r w:rsidRPr="00814262">
        <w:rPr>
          <w:rFonts w:ascii="Times New Roman" w:eastAsia="Times New Roman" w:hAnsi="Times New Roman" w:cs="Times New Roman"/>
          <w:sz w:val="24"/>
          <w:szCs w:val="24"/>
        </w:rPr>
        <w:t xml:space="preserve">is the second most frequent verb being co-selected 14 times with ‘Europe’, after </w:t>
      </w:r>
      <w:r w:rsidRPr="00814262">
        <w:rPr>
          <w:rFonts w:ascii="Times New Roman" w:eastAsia="Times New Roman" w:hAnsi="Times New Roman" w:cs="Times New Roman"/>
          <w:i/>
          <w:iCs/>
          <w:sz w:val="24"/>
          <w:szCs w:val="24"/>
        </w:rPr>
        <w:t>make</w:t>
      </w:r>
      <w:r w:rsidRPr="00814262">
        <w:rPr>
          <w:rFonts w:ascii="Times New Roman" w:eastAsia="Times New Roman" w:hAnsi="Times New Roman" w:cs="Times New Roman"/>
          <w:sz w:val="24"/>
          <w:szCs w:val="24"/>
        </w:rPr>
        <w:t xml:space="preserve"> and </w:t>
      </w:r>
      <w:r w:rsidRPr="00814262">
        <w:rPr>
          <w:rFonts w:ascii="Times New Roman" w:eastAsia="Times New Roman" w:hAnsi="Times New Roman" w:cs="Times New Roman"/>
          <w:i/>
          <w:iCs/>
          <w:sz w:val="24"/>
          <w:szCs w:val="24"/>
        </w:rPr>
        <w:t>help</w:t>
      </w:r>
      <w:r w:rsidRPr="00814262">
        <w:rPr>
          <w:rFonts w:ascii="Times New Roman" w:eastAsia="Times New Roman" w:hAnsi="Times New Roman" w:cs="Times New Roman"/>
          <w:sz w:val="24"/>
          <w:szCs w:val="24"/>
        </w:rPr>
        <w:t xml:space="preserve">. Looking at the typical patterns of co-selection of the lemma ‘lead’ in the context of ‘Europe’ points to a preference for mental processes such as </w:t>
      </w:r>
      <w:r w:rsidRPr="00814262">
        <w:rPr>
          <w:rFonts w:ascii="Times New Roman" w:eastAsia="Times New Roman" w:hAnsi="Times New Roman" w:cs="Times New Roman"/>
          <w:i/>
          <w:iCs/>
          <w:sz w:val="24"/>
          <w:szCs w:val="24"/>
        </w:rPr>
        <w:t xml:space="preserve">looking ahead, </w:t>
      </w:r>
      <w:r w:rsidRPr="00814262">
        <w:rPr>
          <w:rFonts w:ascii="Times New Roman" w:eastAsia="Times New Roman" w:hAnsi="Times New Roman" w:cs="Times New Roman"/>
          <w:sz w:val="24"/>
          <w:szCs w:val="24"/>
        </w:rPr>
        <w:t xml:space="preserve">and </w:t>
      </w:r>
      <w:r w:rsidRPr="00814262">
        <w:rPr>
          <w:rFonts w:ascii="Times New Roman" w:eastAsia="Times New Roman" w:hAnsi="Times New Roman" w:cs="Times New Roman"/>
          <w:i/>
          <w:iCs/>
          <w:sz w:val="24"/>
          <w:szCs w:val="24"/>
        </w:rPr>
        <w:t>seeing</w:t>
      </w:r>
      <w:r w:rsidRPr="00814262">
        <w:rPr>
          <w:rFonts w:ascii="Times New Roman" w:eastAsia="Times New Roman" w:hAnsi="Times New Roman" w:cs="Times New Roman"/>
          <w:sz w:val="24"/>
          <w:szCs w:val="24"/>
        </w:rPr>
        <w:t xml:space="preserve"> which function metaphorically as desiderative processes construing Europe’s ambition as a positive outcome. Similarly, the item </w:t>
      </w:r>
      <w:r w:rsidRPr="00814262">
        <w:rPr>
          <w:rFonts w:ascii="Times New Roman" w:eastAsia="Times New Roman" w:hAnsi="Times New Roman" w:cs="Times New Roman"/>
          <w:i/>
          <w:iCs/>
          <w:sz w:val="24"/>
          <w:szCs w:val="24"/>
        </w:rPr>
        <w:t>vision</w:t>
      </w:r>
      <w:r w:rsidRPr="00814262">
        <w:rPr>
          <w:rFonts w:ascii="Times New Roman" w:eastAsia="Times New Roman" w:hAnsi="Times New Roman" w:cs="Times New Roman"/>
          <w:sz w:val="24"/>
          <w:szCs w:val="24"/>
        </w:rPr>
        <w:t xml:space="preserve"> provides a metaphorical frame through which the addressee is positioned to accept the beneficial effects of proposed/implemented policy action. Language resources of positive evaluation are present throughout qualifying the ‘vision’ as </w:t>
      </w:r>
      <w:r w:rsidRPr="00814262">
        <w:rPr>
          <w:rFonts w:ascii="Times New Roman" w:eastAsia="Times New Roman" w:hAnsi="Times New Roman" w:cs="Times New Roman"/>
          <w:i/>
          <w:iCs/>
          <w:sz w:val="24"/>
          <w:szCs w:val="24"/>
        </w:rPr>
        <w:t>strategic, long-term and clear</w:t>
      </w:r>
      <w:r w:rsidRPr="00814262">
        <w:rPr>
          <w:rFonts w:ascii="Times New Roman" w:eastAsia="Times New Roman" w:hAnsi="Times New Roman" w:cs="Times New Roman"/>
          <w:sz w:val="24"/>
          <w:szCs w:val="24"/>
        </w:rPr>
        <w:t xml:space="preserve"> (example 8), and the desired outcome as </w:t>
      </w:r>
      <w:r w:rsidRPr="00814262">
        <w:rPr>
          <w:rFonts w:ascii="Times New Roman" w:eastAsia="Times New Roman" w:hAnsi="Times New Roman" w:cs="Times New Roman"/>
          <w:i/>
          <w:iCs/>
          <w:sz w:val="24"/>
          <w:szCs w:val="24"/>
        </w:rPr>
        <w:t>prosperous, modern, competitive</w:t>
      </w:r>
      <w:r w:rsidRPr="00814262">
        <w:rPr>
          <w:rFonts w:ascii="Times New Roman" w:eastAsia="Times New Roman" w:hAnsi="Times New Roman" w:cs="Times New Roman"/>
          <w:sz w:val="24"/>
          <w:szCs w:val="24"/>
        </w:rPr>
        <w:t>:</w:t>
      </w:r>
    </w:p>
    <w:p w14:paraId="037FCE33" w14:textId="77777777" w:rsidR="00A31CC3" w:rsidRPr="004D4EBE" w:rsidRDefault="00A31CC3" w:rsidP="00A31CC3">
      <w:pPr>
        <w:spacing w:before="240" w:after="0"/>
        <w:ind w:left="720"/>
        <w:jc w:val="both"/>
        <w:rPr>
          <w:rFonts w:ascii="Times New Roman" w:eastAsia="Times New Roman" w:hAnsi="Times New Roman" w:cs="Times New Roman"/>
        </w:rPr>
      </w:pPr>
      <w:r w:rsidRPr="004D4EBE">
        <w:rPr>
          <w:rFonts w:ascii="Times New Roman" w:eastAsia="Times New Roman" w:hAnsi="Times New Roman" w:cs="Times New Roman"/>
        </w:rPr>
        <w:t>8. On 28 November 2018, the European Commission adopted a strategic long-term vision for a prosperous, modern, competitive and climate neutral economy by 2050 - A Clean Planet for all. The strategy shows how Europe can lead the way to climate neutrality while preserving the competitiveness of its industries by investing into realistic technological solutions. (PR 26/02/2019)</w:t>
      </w:r>
    </w:p>
    <w:p w14:paraId="59161DD1" w14:textId="77777777" w:rsidR="00A31CC3" w:rsidRPr="00814262" w:rsidRDefault="00A31CC3" w:rsidP="00A31CC3">
      <w:pPr>
        <w:spacing w:before="240" w:after="0"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lastRenderedPageBreak/>
        <w:t xml:space="preserve">Moreover, on the interpersonal level, the texts typically construct an axiological orientation towards the subject matter by foregrounding meanings of necessity and obligation, or deontic modality, such as </w:t>
      </w:r>
      <w:r w:rsidRPr="00814262">
        <w:rPr>
          <w:rFonts w:ascii="Times New Roman" w:eastAsia="Times New Roman" w:hAnsi="Times New Roman" w:cs="Times New Roman"/>
          <w:i/>
          <w:iCs/>
          <w:sz w:val="24"/>
          <w:szCs w:val="24"/>
        </w:rPr>
        <w:t>require/need/inevitable/should</w:t>
      </w:r>
      <w:r w:rsidRPr="00814262">
        <w:rPr>
          <w:rFonts w:ascii="Times New Roman" w:eastAsia="Times New Roman" w:hAnsi="Times New Roman" w:cs="Times New Roman"/>
          <w:sz w:val="24"/>
          <w:szCs w:val="24"/>
        </w:rPr>
        <w:t>. The latter contribute to the construction of  EU self-representation and to the framing of its self-positioning as a ‘leader’ and ‘saviour’ as a</w:t>
      </w:r>
      <w:r>
        <w:rPr>
          <w:rFonts w:ascii="Times New Roman" w:eastAsia="Times New Roman" w:hAnsi="Times New Roman" w:cs="Times New Roman"/>
          <w:sz w:val="24"/>
          <w:szCs w:val="24"/>
        </w:rPr>
        <w:t>n imperative</w:t>
      </w:r>
      <w:r w:rsidRPr="00814262">
        <w:rPr>
          <w:rFonts w:ascii="Times New Roman" w:eastAsia="Times New Roman" w:hAnsi="Times New Roman" w:cs="Times New Roman"/>
          <w:sz w:val="24"/>
          <w:szCs w:val="24"/>
        </w:rPr>
        <w:t xml:space="preserve"> moral guidance towards developing countries :</w:t>
      </w:r>
    </w:p>
    <w:p w14:paraId="4082C9F8" w14:textId="77777777" w:rsidR="00A31CC3" w:rsidRPr="004D4EBE" w:rsidRDefault="00A31CC3" w:rsidP="00A31CC3">
      <w:pPr>
        <w:spacing w:before="240" w:after="0"/>
        <w:ind w:left="720"/>
        <w:jc w:val="both"/>
        <w:rPr>
          <w:rFonts w:ascii="Times New Roman" w:eastAsia="Times New Roman" w:hAnsi="Times New Roman" w:cs="Times New Roman"/>
        </w:rPr>
      </w:pPr>
      <w:r w:rsidRPr="004D4EBE">
        <w:rPr>
          <w:rFonts w:ascii="Times New Roman" w:eastAsia="Times New Roman" w:hAnsi="Times New Roman" w:cs="Times New Roman"/>
        </w:rPr>
        <w:t>9. Finally, reaching these goals requires that we have a clear vision of the way ahead and that we work together with resolve and ambition. In the session on the Long-Term Strategy in an international context, we heard all speakers highlighting that a long-term view on how to decarbonise is of the essence to implement the Paris Agreement and that the EU has to show the lead in this. Stepping up our long-term ambition seems inevitable when aiming at limiting global temperature rise to 1.5 degrees. The EU action should inspire other regions to put forward their fair contribution to our planet and wellbeing. (SP 11 July 2018)</w:t>
      </w:r>
    </w:p>
    <w:p w14:paraId="748B1046" w14:textId="77777777" w:rsidR="00A31CC3" w:rsidRPr="00814262" w:rsidRDefault="00A31CC3" w:rsidP="00A31CC3">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14262">
        <w:rPr>
          <w:rFonts w:ascii="Times New Roman" w:eastAsia="Times New Roman" w:hAnsi="Times New Roman" w:cs="Times New Roman"/>
          <w:sz w:val="24"/>
          <w:szCs w:val="24"/>
        </w:rPr>
        <w:t>Europe’ is construed as enacting a dual participant role; i.e. as the a recipient or beneficiary of a proposed set of rules, regulations and strategies, geared towards transition and</w:t>
      </w:r>
      <w:r>
        <w:rPr>
          <w:rFonts w:ascii="Times New Roman" w:eastAsia="Times New Roman" w:hAnsi="Times New Roman" w:cs="Times New Roman"/>
          <w:sz w:val="24"/>
          <w:szCs w:val="24"/>
        </w:rPr>
        <w:t xml:space="preserve"> </w:t>
      </w:r>
      <w:r w:rsidRPr="00814262">
        <w:rPr>
          <w:rFonts w:ascii="Times New Roman" w:eastAsia="Times New Roman" w:hAnsi="Times New Roman" w:cs="Times New Roman"/>
          <w:sz w:val="24"/>
          <w:szCs w:val="24"/>
        </w:rPr>
        <w:t>as an agent of change and innovation through causative processes (</w:t>
      </w:r>
      <w:r w:rsidRPr="00814262">
        <w:rPr>
          <w:rFonts w:ascii="Times New Roman" w:eastAsia="Times New Roman" w:hAnsi="Times New Roman" w:cs="Times New Roman"/>
          <w:i/>
          <w:iCs/>
          <w:sz w:val="24"/>
          <w:szCs w:val="24"/>
        </w:rPr>
        <w:t>make/enable</w:t>
      </w:r>
      <w:r w:rsidRPr="00814262">
        <w:rPr>
          <w:rFonts w:ascii="Times New Roman" w:eastAsia="Times New Roman" w:hAnsi="Times New Roman" w:cs="Times New Roman"/>
          <w:sz w:val="24"/>
          <w:szCs w:val="24"/>
        </w:rPr>
        <w:t xml:space="preserve">): </w:t>
      </w:r>
    </w:p>
    <w:p w14:paraId="15FC3DD3" w14:textId="77777777" w:rsidR="00A31CC3" w:rsidRPr="004D4EBE" w:rsidRDefault="00A31CC3" w:rsidP="00A31CC3">
      <w:pPr>
        <w:spacing w:before="240" w:after="0"/>
        <w:ind w:left="720"/>
        <w:jc w:val="both"/>
        <w:rPr>
          <w:rFonts w:ascii="Times New Roman" w:eastAsia="Times New Roman" w:hAnsi="Times New Roman" w:cs="Times New Roman"/>
        </w:rPr>
      </w:pPr>
      <w:r w:rsidRPr="004D4EBE">
        <w:rPr>
          <w:rFonts w:ascii="Times New Roman" w:eastAsia="Times New Roman" w:hAnsi="Times New Roman" w:cs="Times New Roman"/>
        </w:rPr>
        <w:t>10. This package [i.e. the Clean Energy for All] aims at adapting our regulatory framework to enable Europe to lead the clean energy transition and to deliver on our Paris Agreement commitments. Sustaining our ambition of being a world leader for Renewables is closely linked to that. (SP 25/09/2018)</w:t>
      </w:r>
    </w:p>
    <w:p w14:paraId="08DC8CD1" w14:textId="77777777" w:rsidR="00A31CC3" w:rsidRPr="00814262" w:rsidRDefault="00A31CC3" w:rsidP="00A31CC3">
      <w:pPr>
        <w:spacing w:before="240" w:after="0"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t>Legitimation in this context is usually expressed through strategies of rationalization (van Leeuwen 2007),</w:t>
      </w:r>
      <w:r w:rsidRPr="00A207CD">
        <w:rPr>
          <w:rFonts w:ascii="Times New Roman" w:eastAsia="Times New Roman" w:hAnsi="Times New Roman" w:cs="Times New Roman"/>
          <w:sz w:val="24"/>
          <w:szCs w:val="24"/>
        </w:rPr>
        <w:t xml:space="preserve"> which encourage </w:t>
      </w:r>
      <w:r w:rsidRPr="00FA2912">
        <w:rPr>
          <w:rFonts w:ascii="Times New Roman" w:eastAsia="Times New Roman" w:hAnsi="Times New Roman" w:cs="Times New Roman"/>
          <w:sz w:val="24"/>
          <w:szCs w:val="24"/>
        </w:rPr>
        <w:t>the addressee to accept decisions as the</w:t>
      </w:r>
      <w:r w:rsidRPr="00814262">
        <w:rPr>
          <w:rFonts w:ascii="Times New Roman" w:eastAsia="Times New Roman" w:hAnsi="Times New Roman" w:cs="Times New Roman"/>
          <w:sz w:val="24"/>
          <w:szCs w:val="24"/>
        </w:rPr>
        <w:t xml:space="preserve"> ‘natural’ consequence of a rational argument. In other words, it is through rationalized constructs that the decision-making process is shared within the community as part of a process of naturalization. In the communication </w:t>
      </w:r>
      <w:proofErr w:type="spellStart"/>
      <w:r w:rsidRPr="00814262">
        <w:rPr>
          <w:rFonts w:ascii="Times New Roman" w:eastAsia="Times New Roman" w:hAnsi="Times New Roman" w:cs="Times New Roman"/>
          <w:sz w:val="24"/>
          <w:szCs w:val="24"/>
        </w:rPr>
        <w:t>subcorpus</w:t>
      </w:r>
      <w:proofErr w:type="spellEnd"/>
      <w:r w:rsidRPr="00814262">
        <w:rPr>
          <w:rFonts w:ascii="Times New Roman" w:eastAsia="Times New Roman" w:hAnsi="Times New Roman" w:cs="Times New Roman"/>
          <w:sz w:val="24"/>
          <w:szCs w:val="24"/>
        </w:rPr>
        <w:t xml:space="preserve">, the most frequent rhetorical device to naturalize action is realized by the lexical phrase </w:t>
      </w:r>
      <w:r w:rsidRPr="00814262">
        <w:rPr>
          <w:rFonts w:ascii="Times New Roman" w:eastAsia="Times New Roman" w:hAnsi="Times New Roman" w:cs="Times New Roman"/>
          <w:i/>
          <w:iCs/>
          <w:sz w:val="24"/>
          <w:szCs w:val="24"/>
        </w:rPr>
        <w:t>that/this is why</w:t>
      </w:r>
      <w:r w:rsidRPr="00814262">
        <w:rPr>
          <w:rFonts w:ascii="Times New Roman" w:eastAsia="Times New Roman" w:hAnsi="Times New Roman" w:cs="Times New Roman"/>
          <w:sz w:val="24"/>
          <w:szCs w:val="24"/>
        </w:rPr>
        <w:t xml:space="preserve">, which is typically co-selected with </w:t>
      </w:r>
      <w:r>
        <w:rPr>
          <w:rFonts w:ascii="Times New Roman" w:eastAsia="Times New Roman" w:hAnsi="Times New Roman" w:cs="Times New Roman"/>
          <w:sz w:val="24"/>
          <w:szCs w:val="24"/>
        </w:rPr>
        <w:t xml:space="preserve">personal pronoun </w:t>
      </w:r>
      <w:r w:rsidRPr="00814262">
        <w:rPr>
          <w:rFonts w:ascii="Times New Roman" w:eastAsia="Times New Roman" w:hAnsi="Times New Roman" w:cs="Times New Roman"/>
          <w:sz w:val="24"/>
          <w:szCs w:val="24"/>
        </w:rPr>
        <w:t xml:space="preserve">‘we’. As example 11 shows, rational justification is also instrumental to the promotion of a </w:t>
      </w:r>
      <w:r>
        <w:rPr>
          <w:rFonts w:ascii="Times New Roman" w:eastAsia="Times New Roman" w:hAnsi="Times New Roman" w:cs="Times New Roman"/>
          <w:sz w:val="24"/>
          <w:szCs w:val="24"/>
        </w:rPr>
        <w:t xml:space="preserve">dialectical and dichotomous relationship </w:t>
      </w:r>
      <w:r w:rsidRPr="00A207CD">
        <w:rPr>
          <w:rFonts w:ascii="Times New Roman" w:eastAsia="Times New Roman" w:hAnsi="Times New Roman" w:cs="Times New Roman"/>
          <w:sz w:val="24"/>
          <w:szCs w:val="24"/>
        </w:rPr>
        <w:t>between the historical past and present/future outcomes. Th</w:t>
      </w:r>
      <w:r w:rsidRPr="00FA2912">
        <w:rPr>
          <w:rFonts w:ascii="Times New Roman" w:eastAsia="Times New Roman" w:hAnsi="Times New Roman" w:cs="Times New Roman"/>
          <w:sz w:val="24"/>
          <w:szCs w:val="24"/>
        </w:rPr>
        <w:t xml:space="preserve">e dichotomy between past and future is expressed drawing on different </w:t>
      </w:r>
      <w:r w:rsidRPr="00ED5972">
        <w:rPr>
          <w:rFonts w:ascii="Times New Roman" w:eastAsia="Times New Roman" w:hAnsi="Times New Roman" w:cs="Times New Roman"/>
          <w:sz w:val="24"/>
          <w:szCs w:val="24"/>
        </w:rPr>
        <w:t xml:space="preserve">evaluative items </w:t>
      </w:r>
      <w:r w:rsidRPr="00814262">
        <w:rPr>
          <w:rFonts w:ascii="Times New Roman" w:eastAsia="Times New Roman" w:hAnsi="Times New Roman" w:cs="Times New Roman"/>
          <w:sz w:val="24"/>
          <w:szCs w:val="24"/>
        </w:rPr>
        <w:t>(</w:t>
      </w:r>
      <w:r w:rsidRPr="00814262">
        <w:rPr>
          <w:rFonts w:ascii="Times New Roman" w:eastAsia="Times New Roman" w:hAnsi="Times New Roman" w:cs="Times New Roman"/>
          <w:i/>
          <w:iCs/>
          <w:sz w:val="24"/>
          <w:szCs w:val="24"/>
        </w:rPr>
        <w:t>for too long, uncoordinated, worse, at odds</w:t>
      </w:r>
      <w:r w:rsidRPr="00814262">
        <w:rPr>
          <w:rFonts w:ascii="Times New Roman" w:eastAsia="Times New Roman" w:hAnsi="Times New Roman" w:cs="Times New Roman"/>
          <w:sz w:val="24"/>
          <w:szCs w:val="24"/>
        </w:rPr>
        <w:t xml:space="preserve">) that contribute to the negative evaluation appraisal of the past, thereby guiding the reader to a positive interpretation of the proposed solutions and </w:t>
      </w:r>
      <w:r w:rsidRPr="00814262">
        <w:rPr>
          <w:rFonts w:ascii="Palatino Linotype" w:hAnsi="Palatino Linotype"/>
          <w:color w:val="000000"/>
        </w:rPr>
        <w:t xml:space="preserve">alignment </w:t>
      </w:r>
      <w:r w:rsidRPr="00814262">
        <w:rPr>
          <w:rFonts w:ascii="Times New Roman" w:eastAsia="Times New Roman" w:hAnsi="Times New Roman" w:cs="Times New Roman"/>
          <w:sz w:val="24"/>
          <w:szCs w:val="24"/>
        </w:rPr>
        <w:t>with the new strategy:</w:t>
      </w:r>
    </w:p>
    <w:p w14:paraId="1012D424" w14:textId="77777777" w:rsidR="00A31CC3" w:rsidRPr="004D4EBE" w:rsidRDefault="00A31CC3" w:rsidP="00A31CC3">
      <w:pPr>
        <w:spacing w:before="240" w:after="0"/>
        <w:ind w:left="720"/>
        <w:jc w:val="both"/>
        <w:rPr>
          <w:rFonts w:ascii="Times New Roman" w:eastAsia="Times New Roman" w:hAnsi="Times New Roman" w:cs="Times New Roman"/>
        </w:rPr>
      </w:pPr>
      <w:r w:rsidRPr="004D4EBE">
        <w:rPr>
          <w:rFonts w:ascii="Times New Roman" w:eastAsia="Times New Roman" w:hAnsi="Times New Roman" w:cs="Times New Roman"/>
        </w:rPr>
        <w:t>11. The Green Deal is Europe's new growth strategy. A strategy where environmental, economic and social sustainability go hand-in-hand. Because for too long, they didn't go hand in hand. For too long, different policies to boost sustainability had been uncoordinated or worse: at odds with each other. After working on this for quite some time now my main conclusion is that the green deal will be social or it will not happen. That is why we are trying to bring it all together. (SP 01/09/2020).</w:t>
      </w:r>
    </w:p>
    <w:p w14:paraId="3D6134FB" w14:textId="77777777" w:rsidR="00A31CC3" w:rsidRPr="00814262" w:rsidRDefault="00A31CC3" w:rsidP="00A31CC3">
      <w:pPr>
        <w:spacing w:before="240" w:after="0"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lastRenderedPageBreak/>
        <w:t xml:space="preserve">The idea of bonding or constructing community feelings around shared norms is critical in understanding how policy communication unfolds in this domain. Even more so, the constant tension between ideological rationalization and the role of shared community values in fostering ambition emerges as a salient discursive feature in the EU policy </w:t>
      </w:r>
      <w:r w:rsidRPr="00814262">
        <w:rPr>
          <w:rFonts w:ascii="Times New Roman" w:eastAsia="Times New Roman" w:hAnsi="Times New Roman" w:cs="Times New Roman"/>
          <w:color w:val="000000" w:themeColor="text1"/>
          <w:sz w:val="24"/>
          <w:szCs w:val="24"/>
        </w:rPr>
        <w:t>communication domain in regard to the environmental, climate and health nexus. The increasingly pivotal, game-changing role of health in the European Commission’s communication about processes of environmental/climate policies is noticeable. It</w:t>
      </w:r>
      <w:r w:rsidRPr="00814262">
        <w:rPr>
          <w:rFonts w:ascii="Times New Roman" w:eastAsia="Times New Roman" w:hAnsi="Times New Roman" w:cs="Times New Roman"/>
          <w:sz w:val="24"/>
          <w:szCs w:val="24"/>
        </w:rPr>
        <w:t xml:space="preserve"> appears to be particularly evident in the distribution of occurrences of the lemma over time. In fact, the quantitative evidence for the diachronic distribution of</w:t>
      </w:r>
      <w:r w:rsidRPr="00814262">
        <w:rPr>
          <w:rFonts w:ascii="Times New Roman" w:eastAsia="Times New Roman" w:hAnsi="Times New Roman" w:cs="Times New Roman"/>
          <w:bCs/>
          <w:sz w:val="24"/>
          <w:szCs w:val="24"/>
        </w:rPr>
        <w:t xml:space="preserve"> ‘health*’, including all word forms of the lemma</w:t>
      </w:r>
      <w:r w:rsidRPr="00A207CD">
        <w:rPr>
          <w:rStyle w:val="FootnoteReference"/>
          <w:rFonts w:ascii="Times New Roman" w:eastAsia="Times New Roman" w:hAnsi="Times New Roman" w:cs="Times New Roman"/>
          <w:bCs/>
          <w:sz w:val="24"/>
          <w:szCs w:val="24"/>
        </w:rPr>
        <w:footnoteReference w:id="7"/>
      </w:r>
      <w:r w:rsidRPr="00814262">
        <w:rPr>
          <w:rFonts w:ascii="Times New Roman" w:eastAsia="Times New Roman" w:hAnsi="Times New Roman" w:cs="Times New Roman"/>
          <w:bCs/>
          <w:i/>
          <w:iCs/>
          <w:sz w:val="24"/>
          <w:szCs w:val="24"/>
        </w:rPr>
        <w:t xml:space="preserve"> </w:t>
      </w:r>
      <w:r w:rsidRPr="00814262">
        <w:rPr>
          <w:rFonts w:ascii="Times New Roman" w:eastAsia="Times New Roman" w:hAnsi="Times New Roman" w:cs="Times New Roman"/>
          <w:bCs/>
          <w:sz w:val="24"/>
          <w:szCs w:val="24"/>
        </w:rPr>
        <w:t xml:space="preserve">reveals the first appearance of the term in 2014 and a sharp increase </w:t>
      </w:r>
      <w:r w:rsidRPr="00814262">
        <w:rPr>
          <w:rFonts w:ascii="Times New Roman" w:eastAsia="Times New Roman" w:hAnsi="Times New Roman" w:cs="Times New Roman"/>
          <w:sz w:val="24"/>
          <w:szCs w:val="24"/>
        </w:rPr>
        <w:t xml:space="preserve">in 2015, followed by an alternate trend until 2018 when the number of occurrences almost doubled in comparison to 2015. This is perhaps unsurprising since 2015 was a turning point in global climate/environmental negotiations due to the adoption of the UN Sustainable Agenda 2030 in September, the Paris Agreement a few months later, and the release of the </w:t>
      </w:r>
      <w:r w:rsidRPr="00814262">
        <w:rPr>
          <w:rFonts w:ascii="Times New Roman" w:eastAsia="Times New Roman" w:hAnsi="Times New Roman" w:cs="Times New Roman"/>
          <w:i/>
          <w:sz w:val="24"/>
          <w:szCs w:val="24"/>
        </w:rPr>
        <w:t>Lancet Report</w:t>
      </w:r>
      <w:r w:rsidRPr="00814262">
        <w:rPr>
          <w:rFonts w:ascii="Times New Roman" w:eastAsia="Times New Roman" w:hAnsi="Times New Roman" w:cs="Times New Roman"/>
          <w:sz w:val="24"/>
          <w:szCs w:val="24"/>
        </w:rPr>
        <w:t xml:space="preserve"> as mentioned earlier (see section 4):</w:t>
      </w:r>
    </w:p>
    <w:p w14:paraId="553A5B19" w14:textId="77777777" w:rsidR="00A31CC3" w:rsidRPr="002548C9" w:rsidRDefault="00A31CC3" w:rsidP="00A31CC3">
      <w:pPr>
        <w:spacing w:before="240" w:after="240" w:line="360" w:lineRule="auto"/>
        <w:jc w:val="center"/>
        <w:rPr>
          <w:rFonts w:ascii="Times New Roman" w:hAnsi="Times New Roman" w:cs="Times New Roman"/>
          <w:noProof/>
          <w:sz w:val="24"/>
          <w:szCs w:val="24"/>
          <w:lang w:val="en-US"/>
        </w:rPr>
      </w:pPr>
    </w:p>
    <w:p w14:paraId="3AC5A6B9" w14:textId="77777777" w:rsidR="00A31CC3" w:rsidRPr="002410ED" w:rsidRDefault="00A31CC3" w:rsidP="00A31CC3">
      <w:pPr>
        <w:spacing w:before="240" w:after="240" w:line="360" w:lineRule="auto"/>
        <w:rPr>
          <w:rFonts w:ascii="Times New Roman" w:eastAsia="Times New Roman" w:hAnsi="Times New Roman" w:cs="Times New Roman"/>
          <w:bCs/>
          <w:sz w:val="24"/>
          <w:szCs w:val="24"/>
        </w:rPr>
      </w:pPr>
      <w:r w:rsidRPr="002548C9">
        <w:rPr>
          <w:rFonts w:ascii="Times New Roman" w:hAnsi="Times New Roman" w:cs="Times New Roman"/>
          <w:noProof/>
          <w:sz w:val="24"/>
          <w:szCs w:val="24"/>
          <w:lang w:val="en-US"/>
        </w:rPr>
        <w:t>FIGURE 1 NEAR HERE</w:t>
      </w:r>
    </w:p>
    <w:p w14:paraId="4B99DC7A" w14:textId="77777777" w:rsidR="00A31CC3" w:rsidRDefault="00A31CC3" w:rsidP="00A31CC3">
      <w:pPr>
        <w:spacing w:before="240" w:after="0" w:line="360" w:lineRule="auto"/>
        <w:jc w:val="both"/>
        <w:rPr>
          <w:rFonts w:ascii="Times New Roman" w:eastAsia="Times New Roman" w:hAnsi="Times New Roman" w:cs="Times New Roman"/>
          <w:sz w:val="24"/>
          <w:szCs w:val="24"/>
        </w:rPr>
      </w:pPr>
    </w:p>
    <w:p w14:paraId="68AC02EB" w14:textId="77777777" w:rsidR="00A31CC3" w:rsidRPr="00AC15D8" w:rsidRDefault="00A31CC3" w:rsidP="00A31CC3">
      <w:pPr>
        <w:spacing w:before="240" w:after="0" w:line="360" w:lineRule="auto"/>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rPr>
        <w:t>H</w:t>
      </w:r>
      <w:r w:rsidRPr="00814262">
        <w:rPr>
          <w:rFonts w:ascii="Times New Roman" w:eastAsia="Times New Roman" w:hAnsi="Times New Roman" w:cs="Times New Roman"/>
          <w:bCs/>
          <w:sz w:val="24"/>
          <w:szCs w:val="24"/>
        </w:rPr>
        <w:t>owever, since numbers may only give a preliminary idea of the growing relevance of the topic at stake, closer analysis was needed to ascertain whether and how differences emerge over time. In fact, what a</w:t>
      </w:r>
      <w:r w:rsidRPr="00814262">
        <w:rPr>
          <w:rFonts w:ascii="Times New Roman" w:eastAsia="Times New Roman" w:hAnsi="Times New Roman" w:cs="Times New Roman"/>
          <w:sz w:val="24"/>
          <w:szCs w:val="24"/>
        </w:rPr>
        <w:t xml:space="preserve">ctions in response to a problem are deemed necessary, or </w:t>
      </w:r>
      <w:r>
        <w:rPr>
          <w:rFonts w:ascii="Times New Roman" w:eastAsia="Times New Roman" w:hAnsi="Times New Roman" w:cs="Times New Roman"/>
          <w:sz w:val="24"/>
          <w:szCs w:val="24"/>
        </w:rPr>
        <w:t>feasible</w:t>
      </w:r>
      <w:r w:rsidRPr="00814262">
        <w:rPr>
          <w:rFonts w:ascii="Times New Roman" w:eastAsia="Times New Roman" w:hAnsi="Times New Roman" w:cs="Times New Roman"/>
          <w:sz w:val="24"/>
          <w:szCs w:val="24"/>
        </w:rPr>
        <w:t xml:space="preserve">, and which discourses are articulated in the communication of policy decisions is crucial in order to further understanding the issue. </w:t>
      </w:r>
      <w:r w:rsidRPr="00814262">
        <w:rPr>
          <w:rFonts w:ascii="Times New Roman" w:eastAsia="Times New Roman" w:hAnsi="Times New Roman" w:cs="Times New Roman"/>
          <w:bCs/>
          <w:sz w:val="24"/>
          <w:szCs w:val="24"/>
        </w:rPr>
        <w:t xml:space="preserve">Due to space constraints, we will limit ourselves to a few key findings </w:t>
      </w:r>
      <w:r>
        <w:rPr>
          <w:rFonts w:ascii="Times New Roman" w:eastAsia="Times New Roman" w:hAnsi="Times New Roman" w:cs="Times New Roman"/>
          <w:bCs/>
          <w:sz w:val="24"/>
          <w:szCs w:val="24"/>
        </w:rPr>
        <w:t xml:space="preserve">in this area </w:t>
      </w:r>
      <w:r w:rsidRPr="00814262">
        <w:rPr>
          <w:rFonts w:ascii="Times New Roman" w:eastAsia="Times New Roman" w:hAnsi="Times New Roman" w:cs="Times New Roman"/>
          <w:bCs/>
          <w:sz w:val="24"/>
          <w:szCs w:val="24"/>
        </w:rPr>
        <w:t xml:space="preserve">as regards the role of ‘health’ in legitimizing course/s of action in environmental/climate policy over the years, particularly after 2018 and onwards. In fact, while the diachronic analysis may provide us with some insights about shared, or unshared, discourses over time, some subtle differences emerged. It should be noted that at a lexical level, the collocational behaviour of </w:t>
      </w:r>
      <w:r w:rsidRPr="00814262">
        <w:rPr>
          <w:rFonts w:ascii="Times New Roman" w:eastAsia="Times New Roman" w:hAnsi="Times New Roman" w:cs="Times New Roman"/>
          <w:bCs/>
          <w:i/>
          <w:iCs/>
          <w:sz w:val="24"/>
          <w:szCs w:val="24"/>
        </w:rPr>
        <w:t>health*</w:t>
      </w:r>
      <w:r w:rsidRPr="00A207CD">
        <w:rPr>
          <w:rFonts w:ascii="Times New Roman" w:eastAsia="Times New Roman" w:hAnsi="Times New Roman" w:cs="Times New Roman"/>
          <w:bCs/>
          <w:sz w:val="24"/>
          <w:szCs w:val="24"/>
        </w:rPr>
        <w:t xml:space="preserve"> shows that the lemma </w:t>
      </w:r>
      <w:r w:rsidRPr="00ED5972">
        <w:rPr>
          <w:rFonts w:ascii="Times New Roman" w:eastAsia="Times New Roman" w:hAnsi="Times New Roman" w:cs="Times New Roman"/>
          <w:bCs/>
          <w:sz w:val="24"/>
          <w:szCs w:val="24"/>
        </w:rPr>
        <w:t xml:space="preserve">was most typically co-selected with semantic motifs in the areas of safety, broadly defined as the condition of protection of the individual, </w:t>
      </w:r>
      <w:r w:rsidRPr="00020287">
        <w:rPr>
          <w:rFonts w:ascii="Times New Roman" w:eastAsia="Times New Roman" w:hAnsi="Times New Roman" w:cs="Times New Roman"/>
          <w:bCs/>
          <w:sz w:val="24"/>
          <w:szCs w:val="24"/>
        </w:rPr>
        <w:t>citizens and/or society at large, against environmental risk and threats</w:t>
      </w:r>
      <w:r w:rsidRPr="00AA5148">
        <w:rPr>
          <w:rFonts w:ascii="Times New Roman" w:eastAsia="Times New Roman" w:hAnsi="Times New Roman" w:cs="Times New Roman"/>
          <w:bCs/>
          <w:sz w:val="24"/>
          <w:szCs w:val="24"/>
        </w:rPr>
        <w:t xml:space="preserve">: </w:t>
      </w:r>
    </w:p>
    <w:p w14:paraId="29F8DFF8" w14:textId="77777777" w:rsidR="00A31CC3" w:rsidRPr="004D4EBE" w:rsidRDefault="00A31CC3" w:rsidP="00A31CC3">
      <w:pPr>
        <w:spacing w:before="240" w:after="240"/>
        <w:ind w:left="708"/>
        <w:rPr>
          <w:rFonts w:ascii="Times New Roman" w:eastAsia="Times New Roman" w:hAnsi="Times New Roman" w:cs="Times New Roman"/>
        </w:rPr>
      </w:pPr>
      <w:r w:rsidRPr="004D4EBE">
        <w:rPr>
          <w:rFonts w:ascii="Times New Roman" w:hAnsi="Times New Roman" w:cs="Times New Roman"/>
        </w:rPr>
        <w:t>12. T</w:t>
      </w:r>
      <w:r w:rsidRPr="004D4EBE">
        <w:rPr>
          <w:rFonts w:ascii="Times New Roman" w:eastAsia="Times New Roman" w:hAnsi="Times New Roman" w:cs="Times New Roman"/>
        </w:rPr>
        <w:t xml:space="preserve">he European Commission is taking France to the EU Court of Justice for not complying with EU legislation on urban waste water treatment. Some 17 agglomerations are listed as not having </w:t>
      </w:r>
      <w:r w:rsidRPr="004D4EBE">
        <w:rPr>
          <w:rFonts w:ascii="Times New Roman" w:eastAsia="Times New Roman" w:hAnsi="Times New Roman" w:cs="Times New Roman"/>
        </w:rPr>
        <w:lastRenderedPageBreak/>
        <w:t>waste water treatment up to EU standards. Untreated urban waste water can endanger the health of European citizens and the environment. (PR 29/04/2015)</w:t>
      </w:r>
    </w:p>
    <w:p w14:paraId="4BB4E477" w14:textId="77777777" w:rsidR="00A31CC3" w:rsidRPr="00814262" w:rsidRDefault="00A31CC3" w:rsidP="00A31CC3">
      <w:pPr>
        <w:spacing w:before="240" w:after="0" w:line="360" w:lineRule="auto"/>
        <w:jc w:val="both"/>
        <w:rPr>
          <w:rFonts w:ascii="Times New Roman" w:eastAsia="Times New Roman" w:hAnsi="Times New Roman" w:cs="Times New Roman"/>
          <w:bCs/>
          <w:sz w:val="24"/>
          <w:szCs w:val="24"/>
        </w:rPr>
      </w:pPr>
      <w:r w:rsidRPr="00814262">
        <w:rPr>
          <w:rFonts w:ascii="Times New Roman" w:eastAsia="Times New Roman" w:hAnsi="Times New Roman" w:cs="Times New Roman"/>
          <w:bCs/>
          <w:sz w:val="24"/>
          <w:szCs w:val="24"/>
        </w:rPr>
        <w:t xml:space="preserve">Typical collocates in this domain include the item </w:t>
      </w:r>
      <w:r w:rsidRPr="00814262">
        <w:rPr>
          <w:rFonts w:ascii="Times New Roman" w:eastAsia="Times New Roman" w:hAnsi="Times New Roman" w:cs="Times New Roman"/>
          <w:bCs/>
          <w:i/>
          <w:iCs/>
          <w:sz w:val="24"/>
          <w:szCs w:val="24"/>
        </w:rPr>
        <w:t>safety</w:t>
      </w:r>
      <w:r w:rsidRPr="00814262">
        <w:rPr>
          <w:rFonts w:ascii="Times New Roman" w:eastAsia="Times New Roman" w:hAnsi="Times New Roman" w:cs="Times New Roman"/>
          <w:bCs/>
          <w:sz w:val="24"/>
          <w:szCs w:val="24"/>
        </w:rPr>
        <w:t xml:space="preserve"> itself, as well as its antonyms </w:t>
      </w:r>
      <w:r w:rsidRPr="00814262">
        <w:rPr>
          <w:rFonts w:ascii="Times New Roman" w:eastAsia="Times New Roman" w:hAnsi="Times New Roman" w:cs="Times New Roman"/>
          <w:bCs/>
          <w:i/>
          <w:iCs/>
          <w:sz w:val="24"/>
          <w:szCs w:val="24"/>
        </w:rPr>
        <w:t>risk/s</w:t>
      </w:r>
      <w:r w:rsidRPr="00814262">
        <w:rPr>
          <w:rFonts w:ascii="Times New Roman" w:eastAsia="Times New Roman" w:hAnsi="Times New Roman" w:cs="Times New Roman"/>
          <w:bCs/>
          <w:sz w:val="24"/>
          <w:szCs w:val="24"/>
        </w:rPr>
        <w:t xml:space="preserve"> and </w:t>
      </w:r>
      <w:r w:rsidRPr="00814262">
        <w:rPr>
          <w:rFonts w:ascii="Times New Roman" w:eastAsia="Times New Roman" w:hAnsi="Times New Roman" w:cs="Times New Roman"/>
          <w:bCs/>
          <w:i/>
          <w:iCs/>
          <w:sz w:val="24"/>
          <w:szCs w:val="24"/>
        </w:rPr>
        <w:t>threat/s,</w:t>
      </w:r>
      <w:r w:rsidRPr="00814262">
        <w:rPr>
          <w:rFonts w:ascii="Times New Roman" w:eastAsia="Times New Roman" w:hAnsi="Times New Roman" w:cs="Times New Roman"/>
          <w:bCs/>
          <w:sz w:val="24"/>
          <w:szCs w:val="24"/>
        </w:rPr>
        <w:t xml:space="preserve"> the material processes </w:t>
      </w:r>
      <w:r w:rsidRPr="00814262">
        <w:rPr>
          <w:rFonts w:ascii="Times New Roman" w:eastAsia="Times New Roman" w:hAnsi="Times New Roman" w:cs="Times New Roman"/>
          <w:bCs/>
          <w:i/>
          <w:iCs/>
          <w:sz w:val="24"/>
          <w:szCs w:val="24"/>
        </w:rPr>
        <w:t>protect/safeguard</w:t>
      </w:r>
      <w:r w:rsidRPr="00814262">
        <w:rPr>
          <w:rFonts w:ascii="Times New Roman" w:eastAsia="Times New Roman" w:hAnsi="Times New Roman" w:cs="Times New Roman"/>
          <w:bCs/>
          <w:sz w:val="24"/>
          <w:szCs w:val="24"/>
        </w:rPr>
        <w:t xml:space="preserve">, and the noun </w:t>
      </w:r>
      <w:r w:rsidRPr="00814262">
        <w:rPr>
          <w:rFonts w:ascii="Times New Roman" w:eastAsia="Times New Roman" w:hAnsi="Times New Roman" w:cs="Times New Roman"/>
          <w:bCs/>
          <w:i/>
          <w:iCs/>
          <w:sz w:val="24"/>
          <w:szCs w:val="24"/>
        </w:rPr>
        <w:t>protection.</w:t>
      </w:r>
      <w:r w:rsidRPr="00814262">
        <w:rPr>
          <w:rFonts w:ascii="Times New Roman" w:eastAsia="Times New Roman" w:hAnsi="Times New Roman" w:cs="Times New Roman"/>
          <w:bCs/>
          <w:sz w:val="24"/>
          <w:szCs w:val="24"/>
        </w:rPr>
        <w:t xml:space="preserve"> Moreover, other participants are typically realized by concrete elements related to the environment such as </w:t>
      </w:r>
      <w:r w:rsidRPr="00814262">
        <w:rPr>
          <w:rFonts w:ascii="Times New Roman" w:eastAsia="Times New Roman" w:hAnsi="Times New Roman" w:cs="Times New Roman"/>
          <w:bCs/>
          <w:i/>
          <w:iCs/>
          <w:sz w:val="24"/>
          <w:szCs w:val="24"/>
        </w:rPr>
        <w:t>water,</w:t>
      </w:r>
      <w:r w:rsidRPr="00814262">
        <w:rPr>
          <w:rFonts w:ascii="Times New Roman" w:eastAsia="Times New Roman" w:hAnsi="Times New Roman" w:cs="Times New Roman"/>
          <w:bCs/>
          <w:sz w:val="24"/>
          <w:szCs w:val="24"/>
        </w:rPr>
        <w:t xml:space="preserve"> </w:t>
      </w:r>
      <w:r w:rsidRPr="00814262">
        <w:rPr>
          <w:rFonts w:ascii="Times New Roman" w:eastAsia="Times New Roman" w:hAnsi="Times New Roman" w:cs="Times New Roman"/>
          <w:bCs/>
          <w:i/>
          <w:iCs/>
          <w:sz w:val="24"/>
          <w:szCs w:val="24"/>
        </w:rPr>
        <w:t>air, plants, food</w:t>
      </w:r>
      <w:r w:rsidRPr="00814262">
        <w:rPr>
          <w:rFonts w:ascii="Times New Roman" w:eastAsia="Times New Roman" w:hAnsi="Times New Roman" w:cs="Times New Roman"/>
          <w:bCs/>
          <w:sz w:val="24"/>
          <w:szCs w:val="24"/>
        </w:rPr>
        <w:t xml:space="preserve">. </w:t>
      </w:r>
      <w:r w:rsidRPr="00814262">
        <w:rPr>
          <w:rFonts w:ascii="Times New Roman" w:eastAsia="Times New Roman" w:hAnsi="Times New Roman" w:cs="Times New Roman"/>
          <w:sz w:val="24"/>
          <w:szCs w:val="24"/>
        </w:rPr>
        <w:t xml:space="preserve">What is also worth noting is that the Commission’s effort to manage risk, in a wide range of policy areas such as waste management, or drinking water monitoring, which are part of the EU’s standardization process of environmental and climate change risk reduction., also involves the enactment of a coercive role, which may be possibly regarded as an instrument of control on member states to comply with EU legislation and thus avoiding infringements and preventing sanctions. </w:t>
      </w:r>
      <w:r w:rsidRPr="00814262">
        <w:rPr>
          <w:rFonts w:ascii="Times New Roman" w:eastAsia="Times New Roman" w:hAnsi="Times New Roman" w:cs="Times New Roman"/>
          <w:bCs/>
          <w:sz w:val="24"/>
          <w:szCs w:val="24"/>
        </w:rPr>
        <w:t xml:space="preserve">However, the construal of health as something to be protected against risks and threats, appears to be operationalized by semantic features pointing to an increasing interconnectedness and interdependence between humans and nature, which increasingly characterises the discursive landscape of environmental/climate policies. </w:t>
      </w:r>
    </w:p>
    <w:p w14:paraId="75AD8BFC" w14:textId="77777777" w:rsidR="00A31CC3" w:rsidRPr="004D4EBE" w:rsidRDefault="00A31CC3" w:rsidP="00A31CC3">
      <w:pPr>
        <w:spacing w:before="240" w:after="240"/>
        <w:ind w:left="708"/>
        <w:rPr>
          <w:rFonts w:ascii="Times New Roman" w:eastAsia="Times New Roman" w:hAnsi="Times New Roman" w:cs="Times New Roman"/>
          <w:bCs/>
        </w:rPr>
      </w:pPr>
      <w:r w:rsidRPr="004D4EBE">
        <w:rPr>
          <w:rFonts w:ascii="Times New Roman" w:eastAsia="Times New Roman" w:hAnsi="Times New Roman" w:cs="Times New Roman"/>
          <w:bCs/>
        </w:rPr>
        <w:t>13) Public health, food safety, animal health and plant health all need to be looked at together, not in isolation. (SP 13/12/2019)</w:t>
      </w:r>
    </w:p>
    <w:p w14:paraId="1DE02BD3" w14:textId="77777777" w:rsidR="00A31CC3" w:rsidRPr="004D4EBE" w:rsidRDefault="00A31CC3" w:rsidP="00A31CC3">
      <w:pPr>
        <w:spacing w:before="240" w:after="240"/>
        <w:ind w:left="708"/>
        <w:rPr>
          <w:rFonts w:ascii="Times New Roman" w:eastAsia="Times New Roman" w:hAnsi="Times New Roman" w:cs="Times New Roman"/>
          <w:bCs/>
        </w:rPr>
      </w:pPr>
      <w:r w:rsidRPr="004D4EBE">
        <w:rPr>
          <w:rFonts w:ascii="Times New Roman" w:eastAsia="Times New Roman" w:hAnsi="Times New Roman" w:cs="Times New Roman"/>
          <w:bCs/>
        </w:rPr>
        <w:t>14) We have now seen that this relationship between us and our natural environment is key to our health. (SP 19/10/2020)</w:t>
      </w:r>
    </w:p>
    <w:p w14:paraId="3BFDF912" w14:textId="77777777" w:rsidR="00A31CC3" w:rsidRPr="004D4EBE" w:rsidRDefault="00A31CC3" w:rsidP="00A31CC3">
      <w:pPr>
        <w:spacing w:before="240" w:after="240"/>
        <w:ind w:left="708"/>
        <w:rPr>
          <w:rFonts w:ascii="Times New Roman" w:eastAsia="Times New Roman" w:hAnsi="Times New Roman" w:cs="Times New Roman"/>
          <w:bCs/>
        </w:rPr>
      </w:pPr>
      <w:r w:rsidRPr="004D4EBE">
        <w:rPr>
          <w:rFonts w:ascii="Times New Roman" w:eastAsia="Times New Roman" w:hAnsi="Times New Roman" w:cs="Times New Roman"/>
          <w:bCs/>
        </w:rPr>
        <w:t>15) A healthy nature is a key mechanism in the delivery of public health, reducing disease and fostering good health and well-being</w:t>
      </w:r>
    </w:p>
    <w:p w14:paraId="194902F4" w14:textId="77777777" w:rsidR="00A31CC3" w:rsidRDefault="00A31CC3" w:rsidP="00A31CC3">
      <w:pPr>
        <w:spacing w:before="240" w:after="0" w:line="360" w:lineRule="auto"/>
        <w:jc w:val="both"/>
        <w:rPr>
          <w:rFonts w:ascii="Times New Roman" w:eastAsia="Times New Roman" w:hAnsi="Times New Roman" w:cs="Times New Roman"/>
          <w:bCs/>
          <w:sz w:val="24"/>
          <w:szCs w:val="24"/>
        </w:rPr>
      </w:pPr>
      <w:r w:rsidRPr="00814262">
        <w:rPr>
          <w:rFonts w:ascii="Times New Roman" w:eastAsia="Times New Roman" w:hAnsi="Times New Roman" w:cs="Times New Roman"/>
          <w:bCs/>
          <w:sz w:val="24"/>
          <w:szCs w:val="24"/>
        </w:rPr>
        <w:t>The narrativization of nature as something that does not exist in isolation from communities and human society is thus becoming prominent and may be seen to function rhetorically as a catalyst for change promoting a vision in which a more cooperative and integrated effort may help better tackle future challenges.</w:t>
      </w:r>
    </w:p>
    <w:p w14:paraId="21031532" w14:textId="77777777" w:rsidR="00A31CC3" w:rsidRPr="00814262" w:rsidRDefault="00A31CC3" w:rsidP="00A31CC3">
      <w:pPr>
        <w:spacing w:before="240" w:after="0" w:line="360" w:lineRule="auto"/>
        <w:jc w:val="both"/>
        <w:rPr>
          <w:rFonts w:ascii="Times New Roman" w:eastAsia="Times New Roman" w:hAnsi="Times New Roman" w:cs="Times New Roman"/>
          <w:bCs/>
          <w:sz w:val="24"/>
          <w:szCs w:val="24"/>
        </w:rPr>
      </w:pPr>
    </w:p>
    <w:p w14:paraId="0E50EEBE" w14:textId="77777777" w:rsidR="00A31CC3" w:rsidRPr="00814262" w:rsidRDefault="00A31CC3" w:rsidP="00A31CC3">
      <w:pPr>
        <w:spacing w:before="240" w:after="0"/>
        <w:rPr>
          <w:rFonts w:ascii="Times New Roman" w:eastAsia="Times New Roman" w:hAnsi="Times New Roman" w:cs="Times New Roman"/>
          <w:b/>
          <w:sz w:val="24"/>
          <w:szCs w:val="24"/>
        </w:rPr>
      </w:pPr>
      <w:r w:rsidRPr="00814262">
        <w:rPr>
          <w:rFonts w:ascii="Times New Roman" w:eastAsia="Times New Roman" w:hAnsi="Times New Roman" w:cs="Times New Roman"/>
          <w:b/>
          <w:sz w:val="24"/>
          <w:szCs w:val="24"/>
        </w:rPr>
        <w:t>6. Conclusions</w:t>
      </w:r>
    </w:p>
    <w:p w14:paraId="51E39EC1" w14:textId="77777777" w:rsidR="00A31CC3" w:rsidRPr="00814262" w:rsidRDefault="00A31CC3" w:rsidP="00A31CC3">
      <w:pPr>
        <w:jc w:val="both"/>
        <w:rPr>
          <w:rFonts w:ascii="Times New Roman" w:hAnsi="Times New Roman" w:cs="Times New Roman"/>
          <w:sz w:val="24"/>
          <w:szCs w:val="24"/>
          <w:lang w:val="en-US"/>
        </w:rPr>
      </w:pPr>
    </w:p>
    <w:p w14:paraId="244E20A4" w14:textId="77777777" w:rsidR="00A31CC3" w:rsidRDefault="00A31CC3" w:rsidP="00A31CC3">
      <w:pPr>
        <w:spacing w:line="360" w:lineRule="auto"/>
        <w:jc w:val="both"/>
        <w:rPr>
          <w:rFonts w:ascii="Times New Roman" w:eastAsia="Times New Roman" w:hAnsi="Times New Roman" w:cs="Times New Roman"/>
          <w:sz w:val="24"/>
          <w:szCs w:val="24"/>
        </w:rPr>
      </w:pPr>
      <w:r w:rsidRPr="00814262">
        <w:rPr>
          <w:rFonts w:ascii="Times New Roman" w:hAnsi="Times New Roman" w:cs="Times New Roman"/>
          <w:sz w:val="24"/>
          <w:szCs w:val="24"/>
          <w:lang w:val="en-US"/>
        </w:rPr>
        <w:t>The chapter set out to investigate the relationship between the environment, climate and health as social constructs standing in mutual interdependence with the aim to explore how they are linguistically and discursively articulated in public policy and political discourse.</w:t>
      </w:r>
      <w:r w:rsidRPr="00814262">
        <w:rPr>
          <w:rFonts w:ascii="Times New Roman" w:eastAsia="Times New Roman" w:hAnsi="Times New Roman" w:cs="Times New Roman"/>
          <w:sz w:val="24"/>
          <w:szCs w:val="24"/>
          <w:lang w:val="en-US"/>
        </w:rPr>
        <w:t xml:space="preserve"> Drawing on</w:t>
      </w:r>
      <w:r>
        <w:rPr>
          <w:rFonts w:ascii="Times New Roman" w:eastAsia="Times New Roman" w:hAnsi="Times New Roman" w:cs="Times New Roman"/>
          <w:sz w:val="24"/>
          <w:szCs w:val="24"/>
          <w:lang w:val="en-US"/>
        </w:rPr>
        <w:t xml:space="preserve"> </w:t>
      </w:r>
      <w:r w:rsidRPr="00814262">
        <w:rPr>
          <w:rFonts w:ascii="Times New Roman" w:eastAsia="Times New Roman" w:hAnsi="Times New Roman" w:cs="Times New Roman"/>
          <w:sz w:val="24"/>
          <w:szCs w:val="24"/>
          <w:lang w:val="en-US"/>
        </w:rPr>
        <w:t>the assumption that political discourse is one</w:t>
      </w:r>
      <w:r w:rsidRPr="00814262">
        <w:rPr>
          <w:rFonts w:ascii="Times New Roman" w:hAnsi="Times New Roman" w:cs="Times New Roman"/>
          <w:sz w:val="24"/>
          <w:szCs w:val="24"/>
          <w:lang w:val="en-US"/>
        </w:rPr>
        <w:t xml:space="preserve"> of the </w:t>
      </w:r>
      <w:r w:rsidRPr="00814262">
        <w:rPr>
          <w:rFonts w:ascii="Times New Roman" w:eastAsia="Times New Roman" w:hAnsi="Times New Roman" w:cs="Times New Roman"/>
          <w:sz w:val="24"/>
          <w:szCs w:val="24"/>
          <w:lang w:val="en-US"/>
        </w:rPr>
        <w:t xml:space="preserve">constitutive elements of political institutions, an understanding of the role of the discursive and rhetorical practices in shaping these policy and </w:t>
      </w:r>
      <w:r w:rsidRPr="00814262">
        <w:rPr>
          <w:rFonts w:ascii="Times New Roman" w:eastAsia="Times New Roman" w:hAnsi="Times New Roman" w:cs="Times New Roman"/>
          <w:sz w:val="24"/>
          <w:szCs w:val="24"/>
          <w:lang w:val="en-US"/>
        </w:rPr>
        <w:lastRenderedPageBreak/>
        <w:t>political imaginaries is crucial.</w:t>
      </w:r>
      <w:r>
        <w:rPr>
          <w:rFonts w:ascii="Times New Roman" w:eastAsia="Times New Roman" w:hAnsi="Times New Roman" w:cs="Times New Roman"/>
          <w:sz w:val="24"/>
          <w:szCs w:val="24"/>
          <w:lang w:val="en-US"/>
        </w:rPr>
        <w:t xml:space="preserve"> </w:t>
      </w:r>
      <w:r w:rsidRPr="00814262">
        <w:rPr>
          <w:rFonts w:ascii="Times New Roman" w:eastAsia="Times New Roman" w:hAnsi="Times New Roman" w:cs="Times New Roman"/>
          <w:sz w:val="24"/>
          <w:szCs w:val="24"/>
          <w:lang w:val="en-US"/>
        </w:rPr>
        <w:t xml:space="preserve">Indeed, </w:t>
      </w:r>
      <w:r w:rsidRPr="00814262">
        <w:rPr>
          <w:rFonts w:ascii="Times New Roman" w:hAnsi="Times New Roman" w:cs="Times New Roman"/>
          <w:sz w:val="24"/>
          <w:szCs w:val="24"/>
          <w:lang w:val="en-US"/>
        </w:rPr>
        <w:t>far from being a mere fixed entity, policy-making deliberation and its communication are here defined and understood as</w:t>
      </w:r>
      <w:r w:rsidRPr="00814262">
        <w:rPr>
          <w:rFonts w:ascii="Times New Roman" w:hAnsi="Times New Roman" w:cs="Times New Roman"/>
          <w:sz w:val="24"/>
          <w:szCs w:val="24"/>
          <w:shd w:val="clear" w:color="auto" w:fill="FFFFFF"/>
          <w:lang w:val="en-US"/>
        </w:rPr>
        <w:t xml:space="preserve"> discursive processes embedded within specific social and relational contexts; in other words, political processes in themselves. </w:t>
      </w:r>
      <w:r w:rsidRPr="00814262">
        <w:rPr>
          <w:rFonts w:ascii="Times New Roman" w:eastAsia="Times New Roman" w:hAnsi="Times New Roman" w:cs="Times New Roman"/>
          <w:sz w:val="24"/>
          <w:szCs w:val="24"/>
          <w:lang w:val="en-US"/>
        </w:rPr>
        <w:t xml:space="preserve"> </w:t>
      </w:r>
      <w:r w:rsidRPr="00814262">
        <w:rPr>
          <w:rFonts w:ascii="Times New Roman" w:eastAsia="Times New Roman" w:hAnsi="Times New Roman" w:cs="Times New Roman"/>
          <w:sz w:val="24"/>
          <w:szCs w:val="24"/>
        </w:rPr>
        <w:t>Policies</w:t>
      </w:r>
      <w:r>
        <w:rPr>
          <w:rFonts w:ascii="Times New Roman" w:eastAsia="Times New Roman" w:hAnsi="Times New Roman" w:cs="Times New Roman"/>
          <w:sz w:val="24"/>
          <w:szCs w:val="24"/>
        </w:rPr>
        <w:t xml:space="preserve"> </w:t>
      </w:r>
      <w:r w:rsidRPr="00814262">
        <w:rPr>
          <w:rFonts w:ascii="Times New Roman" w:eastAsia="Times New Roman" w:hAnsi="Times New Roman" w:cs="Times New Roman"/>
          <w:sz w:val="24"/>
          <w:szCs w:val="24"/>
        </w:rPr>
        <w:t>are</w:t>
      </w:r>
      <w:r>
        <w:rPr>
          <w:rFonts w:ascii="Times New Roman" w:eastAsia="Times New Roman" w:hAnsi="Times New Roman" w:cs="Times New Roman"/>
          <w:sz w:val="24"/>
          <w:szCs w:val="24"/>
        </w:rPr>
        <w:t>, in fact, “</w:t>
      </w:r>
      <w:r w:rsidRPr="00814262">
        <w:rPr>
          <w:rFonts w:ascii="Times New Roman" w:eastAsia="Times New Roman" w:hAnsi="Times New Roman" w:cs="Times New Roman"/>
          <w:sz w:val="24"/>
          <w:szCs w:val="24"/>
        </w:rPr>
        <w:t>intrinsically bound to how people and policy-makers interpret [them] and the unspoken assumptions and goals they have in mind” (</w:t>
      </w:r>
      <w:proofErr w:type="spellStart"/>
      <w:r w:rsidRPr="00814262">
        <w:rPr>
          <w:rFonts w:ascii="Times New Roman" w:eastAsia="Times New Roman" w:hAnsi="Times New Roman" w:cs="Times New Roman"/>
          <w:sz w:val="24"/>
          <w:szCs w:val="24"/>
        </w:rPr>
        <w:t>Remling</w:t>
      </w:r>
      <w:proofErr w:type="spellEnd"/>
      <w:r w:rsidRPr="0081426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2018: </w:t>
      </w:r>
      <w:r w:rsidRPr="00814262">
        <w:rPr>
          <w:rFonts w:ascii="Times New Roman" w:eastAsia="Times New Roman" w:hAnsi="Times New Roman" w:cs="Times New Roman"/>
          <w:sz w:val="24"/>
          <w:szCs w:val="24"/>
        </w:rPr>
        <w:t>478).</w:t>
      </w:r>
      <w:r w:rsidRPr="00A207CD">
        <w:rPr>
          <w:rFonts w:ascii="Times New Roman" w:eastAsia="Times New Roman" w:hAnsi="Times New Roman" w:cs="Times New Roman"/>
          <w:sz w:val="24"/>
          <w:szCs w:val="24"/>
        </w:rPr>
        <w:t xml:space="preserve"> They are context and co-text dependent and during their construction, they pick up, transform and recontextualise intertextual and interdiscursive references (</w:t>
      </w:r>
      <w:proofErr w:type="spellStart"/>
      <w:r w:rsidRPr="00814262">
        <w:rPr>
          <w:rFonts w:ascii="Times New Roman" w:hAnsi="Times New Roman" w:cs="Times New Roman"/>
          <w:sz w:val="24"/>
          <w:szCs w:val="24"/>
          <w:lang w:val="en-US"/>
        </w:rPr>
        <w:t>Wodak</w:t>
      </w:r>
      <w:proofErr w:type="spellEnd"/>
      <w:r w:rsidRPr="00814262">
        <w:rPr>
          <w:rFonts w:ascii="Times New Roman" w:hAnsi="Times New Roman" w:cs="Times New Roman"/>
          <w:sz w:val="24"/>
          <w:szCs w:val="24"/>
          <w:lang w:val="en-US"/>
        </w:rPr>
        <w:fldChar w:fldCharType="begin"/>
      </w:r>
      <w:r w:rsidRPr="00814262">
        <w:rPr>
          <w:rFonts w:ascii="Times New Roman" w:hAnsi="Times New Roman" w:cs="Times New Roman"/>
          <w:sz w:val="24"/>
          <w:szCs w:val="24"/>
        </w:rPr>
        <w:instrText xml:space="preserve"> XE "</w:instrText>
      </w:r>
      <w:r w:rsidRPr="00814262">
        <w:rPr>
          <w:rFonts w:ascii="Times New Roman" w:hAnsi="Times New Roman" w:cs="Times New Roman"/>
          <w:sz w:val="24"/>
          <w:szCs w:val="24"/>
          <w:lang w:val="en-US"/>
        </w:rPr>
        <w:instrText>Wodak, Ruth</w:instrText>
      </w:r>
      <w:r w:rsidRPr="00814262">
        <w:rPr>
          <w:rFonts w:ascii="Times New Roman" w:hAnsi="Times New Roman" w:cs="Times New Roman"/>
          <w:sz w:val="24"/>
          <w:szCs w:val="24"/>
        </w:rPr>
        <w:instrText xml:space="preserve">" </w:instrText>
      </w:r>
      <w:r w:rsidRPr="00814262">
        <w:rPr>
          <w:rFonts w:ascii="Times New Roman" w:hAnsi="Times New Roman" w:cs="Times New Roman"/>
          <w:sz w:val="24"/>
          <w:szCs w:val="24"/>
          <w:lang w:val="en-US"/>
        </w:rPr>
        <w:fldChar w:fldCharType="end"/>
      </w:r>
      <w:r w:rsidRPr="00814262">
        <w:rPr>
          <w:rFonts w:ascii="Times New Roman" w:hAnsi="Times New Roman" w:cs="Times New Roman"/>
          <w:sz w:val="24"/>
          <w:szCs w:val="24"/>
          <w:lang w:val="en-US"/>
        </w:rPr>
        <w:t xml:space="preserve"> </w:t>
      </w:r>
      <w:r w:rsidRPr="00814262">
        <w:rPr>
          <w:rFonts w:ascii="Times New Roman" w:hAnsi="Times New Roman" w:cs="Times New Roman"/>
          <w:i/>
          <w:sz w:val="24"/>
          <w:szCs w:val="24"/>
          <w:lang w:val="en-US"/>
        </w:rPr>
        <w:t>et al</w:t>
      </w:r>
      <w:r w:rsidRPr="00814262">
        <w:rPr>
          <w:rFonts w:ascii="Times New Roman" w:hAnsi="Times New Roman" w:cs="Times New Roman"/>
          <w:sz w:val="24"/>
          <w:szCs w:val="24"/>
          <w:lang w:val="en-US"/>
        </w:rPr>
        <w:t>, 1999; van Dijk</w:t>
      </w:r>
      <w:r w:rsidRPr="00814262">
        <w:rPr>
          <w:rFonts w:ascii="Times New Roman" w:hAnsi="Times New Roman" w:cs="Times New Roman"/>
          <w:sz w:val="24"/>
          <w:szCs w:val="24"/>
          <w:lang w:val="en-US"/>
        </w:rPr>
        <w:fldChar w:fldCharType="begin"/>
      </w:r>
      <w:r w:rsidRPr="00814262">
        <w:rPr>
          <w:rFonts w:ascii="Times New Roman" w:hAnsi="Times New Roman" w:cs="Times New Roman"/>
          <w:sz w:val="24"/>
          <w:szCs w:val="24"/>
        </w:rPr>
        <w:instrText xml:space="preserve"> XE "van Dijk, Teun" </w:instrText>
      </w:r>
      <w:r w:rsidRPr="00814262">
        <w:rPr>
          <w:rFonts w:ascii="Times New Roman" w:hAnsi="Times New Roman" w:cs="Times New Roman"/>
          <w:sz w:val="24"/>
          <w:szCs w:val="24"/>
          <w:lang w:val="en-US"/>
        </w:rPr>
        <w:fldChar w:fldCharType="end"/>
      </w:r>
      <w:r w:rsidRPr="00814262">
        <w:rPr>
          <w:rFonts w:ascii="Times New Roman" w:hAnsi="Times New Roman" w:cs="Times New Roman"/>
          <w:sz w:val="24"/>
          <w:szCs w:val="24"/>
          <w:lang w:val="en-US"/>
        </w:rPr>
        <w:t>, 2009</w:t>
      </w:r>
      <w:r w:rsidRPr="00A207C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6446F4D7" w14:textId="77777777" w:rsidR="00A31CC3" w:rsidRPr="004D4EBE" w:rsidRDefault="00A31CC3" w:rsidP="00A31CC3">
      <w:pPr>
        <w:spacing w:line="360" w:lineRule="auto"/>
        <w:jc w:val="both"/>
        <w:rPr>
          <w:rFonts w:ascii="Times New Roman" w:hAnsi="Times New Roman" w:cs="Times New Roman"/>
          <w:sz w:val="24"/>
          <w:szCs w:val="24"/>
          <w:shd w:val="clear" w:color="auto" w:fill="FFFFFF"/>
          <w:lang w:val="en-US"/>
        </w:rPr>
      </w:pPr>
      <w:r w:rsidRPr="00ED5972">
        <w:rPr>
          <w:rFonts w:ascii="Times New Roman" w:hAnsi="Times New Roman" w:cs="Times New Roman"/>
          <w:sz w:val="24"/>
          <w:szCs w:val="24"/>
          <w:lang w:val="en-US"/>
        </w:rPr>
        <w:t>T</w:t>
      </w:r>
      <w:r w:rsidRPr="00ED5972">
        <w:rPr>
          <w:rFonts w:ascii="Times New Roman" w:hAnsi="Times New Roman" w:cs="Times New Roman"/>
          <w:sz w:val="24"/>
          <w:szCs w:val="24"/>
          <w:shd w:val="clear" w:color="auto" w:fill="FFFFFF"/>
          <w:lang w:val="en-US"/>
        </w:rPr>
        <w:t>he study has focused</w:t>
      </w:r>
      <w:r w:rsidRPr="00814262">
        <w:rPr>
          <w:rFonts w:ascii="Times New Roman" w:hAnsi="Times New Roman" w:cs="Times New Roman"/>
          <w:sz w:val="24"/>
          <w:szCs w:val="24"/>
          <w:shd w:val="clear" w:color="auto" w:fill="FFFFFF"/>
          <w:lang w:val="en-US"/>
        </w:rPr>
        <w:t xml:space="preserve"> on the European Union and, in particular, on the EU Commission, as a test field yielding a privileged and unique site of observation on the analysis of the climate/environment and health policy nexus in the public space.</w:t>
      </w:r>
      <w:r w:rsidRPr="00814262">
        <w:rPr>
          <w:rFonts w:ascii="Times New Roman" w:eastAsia="Times New Roman" w:hAnsi="Times New Roman" w:cs="Times New Roman"/>
          <w:sz w:val="24"/>
          <w:szCs w:val="24"/>
          <w:lang w:val="en-US"/>
        </w:rPr>
        <w:t xml:space="preserve"> Articulated in different policy-related genres, the EU rhetoric on the environment and climate change has provided an extremely valuable example of the Union’s international </w:t>
      </w:r>
      <w:r w:rsidRPr="00A207CD">
        <w:rPr>
          <w:rFonts w:ascii="Times New Roman" w:eastAsia="Times New Roman" w:hAnsi="Times New Roman" w:cs="Times New Roman"/>
          <w:sz w:val="24"/>
          <w:szCs w:val="24"/>
          <w:lang w:val="en-US"/>
        </w:rPr>
        <w:t xml:space="preserve">discourse, strongly relying on </w:t>
      </w:r>
      <w:r w:rsidRPr="00FA2912">
        <w:rPr>
          <w:rFonts w:ascii="Times New Roman" w:eastAsia="Times New Roman" w:hAnsi="Times New Roman" w:cs="Times New Roman"/>
          <w:sz w:val="24"/>
          <w:szCs w:val="24"/>
          <w:lang w:val="en-US"/>
        </w:rPr>
        <w:t xml:space="preserve">the discursive framework of international and global politics of </w:t>
      </w:r>
      <w:r w:rsidRPr="00ED5972">
        <w:rPr>
          <w:rFonts w:ascii="Times New Roman" w:eastAsia="Times New Roman" w:hAnsi="Times New Roman" w:cs="Times New Roman"/>
          <w:sz w:val="24"/>
          <w:szCs w:val="24"/>
          <w:lang w:val="en-US"/>
        </w:rPr>
        <w:t>climate change (</w:t>
      </w:r>
      <w:proofErr w:type="spellStart"/>
      <w:r w:rsidRPr="00ED5972">
        <w:rPr>
          <w:rFonts w:ascii="Times New Roman" w:eastAsia="Times New Roman" w:hAnsi="Times New Roman" w:cs="Times New Roman"/>
          <w:sz w:val="24"/>
          <w:szCs w:val="24"/>
          <w:lang w:val="en-US"/>
        </w:rPr>
        <w:t>Krzyzanowski</w:t>
      </w:r>
      <w:proofErr w:type="spellEnd"/>
      <w:r w:rsidRPr="00ED5972">
        <w:rPr>
          <w:rFonts w:ascii="Times New Roman" w:eastAsia="Times New Roman" w:hAnsi="Times New Roman" w:cs="Times New Roman"/>
          <w:sz w:val="24"/>
          <w:szCs w:val="24"/>
          <w:lang w:val="en-US"/>
        </w:rPr>
        <w:t xml:space="preserve"> 2015)</w:t>
      </w:r>
      <w:r w:rsidRPr="00020287">
        <w:rPr>
          <w:rFonts w:ascii="Times New Roman" w:eastAsia="Times New Roman" w:hAnsi="Times New Roman" w:cs="Times New Roman"/>
          <w:sz w:val="24"/>
          <w:szCs w:val="24"/>
          <w:lang w:val="en-US"/>
        </w:rPr>
        <w:t xml:space="preserve">. </w:t>
      </w:r>
      <w:r w:rsidRPr="00AA5148">
        <w:rPr>
          <w:rFonts w:ascii="Times New Roman" w:eastAsia="Times New Roman" w:hAnsi="Times New Roman" w:cs="Times New Roman"/>
          <w:sz w:val="24"/>
          <w:szCs w:val="24"/>
          <w:lang w:val="en-US"/>
        </w:rPr>
        <w:t xml:space="preserve">In fact, while </w:t>
      </w:r>
      <w:r w:rsidRPr="00AC15D8">
        <w:rPr>
          <w:rFonts w:ascii="Times New Roman" w:eastAsia="Times New Roman" w:hAnsi="Times New Roman" w:cs="Times New Roman"/>
          <w:sz w:val="24"/>
          <w:szCs w:val="24"/>
          <w:lang w:val="en-US"/>
        </w:rPr>
        <w:t xml:space="preserve">on the one hand </w:t>
      </w:r>
      <w:r w:rsidRPr="00A44750">
        <w:rPr>
          <w:rFonts w:ascii="Times New Roman" w:eastAsia="Times New Roman" w:hAnsi="Times New Roman" w:cs="Times New Roman"/>
          <w:sz w:val="24"/>
          <w:szCs w:val="24"/>
          <w:lang w:val="en-US"/>
        </w:rPr>
        <w:t xml:space="preserve">the EU has a very </w:t>
      </w:r>
      <w:r w:rsidRPr="00814262">
        <w:rPr>
          <w:rFonts w:ascii="Times New Roman" w:hAnsi="Times New Roman" w:cs="Times New Roman"/>
          <w:sz w:val="24"/>
          <w:szCs w:val="24"/>
        </w:rPr>
        <w:t>long tradition as a leader of international climate diplomacy, on the other its efforts have suffered from considerable shortfalls. As a crucial site of struggle over meanings, EU’s environmental public policy exhibits a constant tension between continuity and change both in terms of political vision and goals.</w:t>
      </w:r>
      <w:r>
        <w:rPr>
          <w:rFonts w:ascii="Times New Roman" w:hAnsi="Times New Roman" w:cs="Times New Roman"/>
          <w:sz w:val="24"/>
          <w:szCs w:val="24"/>
          <w:shd w:val="clear" w:color="auto" w:fill="FFFFFF"/>
          <w:lang w:val="en-US"/>
        </w:rPr>
        <w:t xml:space="preserve"> </w:t>
      </w:r>
      <w:r w:rsidRPr="00A207CD">
        <w:rPr>
          <w:rFonts w:ascii="Times New Roman" w:hAnsi="Times New Roman" w:cs="Times New Roman"/>
          <w:sz w:val="24"/>
          <w:szCs w:val="24"/>
          <w:shd w:val="clear" w:color="auto" w:fill="FFFFFF"/>
          <w:lang w:val="en-US"/>
        </w:rPr>
        <w:t>Drawing</w:t>
      </w:r>
      <w:r w:rsidRPr="00814262">
        <w:rPr>
          <w:rFonts w:ascii="Times New Roman" w:hAnsi="Times New Roman" w:cs="Times New Roman"/>
          <w:sz w:val="24"/>
          <w:szCs w:val="24"/>
          <w:shd w:val="clear" w:color="auto" w:fill="FFFFFF"/>
          <w:lang w:val="en-US"/>
        </w:rPr>
        <w:t xml:space="preserve"> </w:t>
      </w:r>
      <w:r w:rsidRPr="00814262">
        <w:rPr>
          <w:rFonts w:ascii="Times New Roman" w:hAnsi="Times New Roman" w:cs="Times New Roman"/>
          <w:sz w:val="24"/>
          <w:szCs w:val="24"/>
        </w:rPr>
        <w:t xml:space="preserve">on the methodological and analytical tools of corpus-assisted critical discourse studies, the analysis has attempted to shed some light on the EU Commission’s </w:t>
      </w:r>
      <w:r w:rsidRPr="00814262">
        <w:rPr>
          <w:rFonts w:ascii="Times New Roman" w:hAnsi="Times New Roman" w:cs="Times New Roman"/>
          <w:sz w:val="24"/>
          <w:szCs w:val="24"/>
          <w:shd w:val="clear" w:color="auto" w:fill="FFFFFF"/>
          <w:lang w:val="en-US"/>
        </w:rPr>
        <w:t>prevailing discursive formations and practices both in policy and political communication and its underlying ideologies characterizing this broad discursive landscape. Th</w:t>
      </w:r>
      <w:r>
        <w:rPr>
          <w:rFonts w:ascii="Times New Roman" w:hAnsi="Times New Roman" w:cs="Times New Roman"/>
          <w:sz w:val="24"/>
          <w:szCs w:val="24"/>
          <w:shd w:val="clear" w:color="auto" w:fill="FFFFFF"/>
          <w:lang w:val="en-US"/>
        </w:rPr>
        <w:t>e theoretical and methodological</w:t>
      </w:r>
      <w:r w:rsidRPr="00814262">
        <w:rPr>
          <w:rFonts w:ascii="Times New Roman" w:hAnsi="Times New Roman" w:cs="Times New Roman"/>
          <w:sz w:val="24"/>
          <w:szCs w:val="24"/>
          <w:shd w:val="clear" w:color="auto" w:fill="FFFFFF"/>
          <w:lang w:val="en-US"/>
        </w:rPr>
        <w:t xml:space="preserve"> </w:t>
      </w:r>
      <w:r w:rsidRPr="00814262">
        <w:rPr>
          <w:rFonts w:ascii="Times New Roman" w:eastAsia="Times New Roman" w:hAnsi="Times New Roman" w:cs="Times New Roman"/>
          <w:sz w:val="24"/>
          <w:szCs w:val="24"/>
        </w:rPr>
        <w:t xml:space="preserve">procedure has allowed us to empirically detect </w:t>
      </w:r>
      <w:r w:rsidRPr="00A207CD">
        <w:rPr>
          <w:rFonts w:ascii="Times New Roman" w:eastAsia="Times New Roman" w:hAnsi="Times New Roman" w:cs="Times New Roman"/>
          <w:sz w:val="24"/>
          <w:szCs w:val="24"/>
        </w:rPr>
        <w:t>statistically salient words as entry points into discourse in order to trace key discursive strategies through which the texts naturalize certain reader positioning</w:t>
      </w:r>
      <w:r>
        <w:rPr>
          <w:rFonts w:ascii="Times New Roman" w:eastAsia="Times New Roman" w:hAnsi="Times New Roman" w:cs="Times New Roman"/>
          <w:sz w:val="24"/>
          <w:szCs w:val="24"/>
        </w:rPr>
        <w:t>s</w:t>
      </w:r>
      <w:r w:rsidRPr="00A207CD">
        <w:rPr>
          <w:rFonts w:ascii="Times New Roman" w:eastAsia="Times New Roman" w:hAnsi="Times New Roman" w:cs="Times New Roman"/>
          <w:sz w:val="24"/>
          <w:szCs w:val="24"/>
        </w:rPr>
        <w:t>. While some degree of ‘permeability’ (</w:t>
      </w:r>
      <w:r w:rsidRPr="00814262">
        <w:rPr>
          <w:rFonts w:ascii="Times New Roman" w:eastAsia="Times New Roman" w:hAnsi="Times New Roman" w:cs="Times New Roman"/>
          <w:sz w:val="24"/>
          <w:szCs w:val="24"/>
        </w:rPr>
        <w:t>Hasan 2016)</w:t>
      </w:r>
      <w:r w:rsidRPr="00A207CD">
        <w:rPr>
          <w:rFonts w:ascii="Times New Roman" w:eastAsia="Times New Roman" w:hAnsi="Times New Roman" w:cs="Times New Roman"/>
          <w:sz w:val="24"/>
          <w:szCs w:val="24"/>
        </w:rPr>
        <w:t xml:space="preserve"> between the two is evident and </w:t>
      </w:r>
      <w:r w:rsidRPr="00FA2912">
        <w:rPr>
          <w:rFonts w:ascii="Times New Roman" w:eastAsia="Times New Roman" w:hAnsi="Times New Roman" w:cs="Times New Roman"/>
          <w:sz w:val="24"/>
          <w:szCs w:val="24"/>
        </w:rPr>
        <w:t xml:space="preserve">may be explained in terms of the </w:t>
      </w:r>
      <w:r w:rsidRPr="00ED5972">
        <w:rPr>
          <w:rFonts w:ascii="Times New Roman" w:eastAsia="Times New Roman" w:hAnsi="Times New Roman" w:cs="Times New Roman"/>
          <w:sz w:val="24"/>
          <w:szCs w:val="24"/>
        </w:rPr>
        <w:t xml:space="preserve">shared ideational meanings of the two </w:t>
      </w:r>
      <w:proofErr w:type="spellStart"/>
      <w:r w:rsidRPr="00ED5972">
        <w:rPr>
          <w:rFonts w:ascii="Times New Roman" w:eastAsia="Times New Roman" w:hAnsi="Times New Roman" w:cs="Times New Roman"/>
          <w:sz w:val="24"/>
          <w:szCs w:val="24"/>
        </w:rPr>
        <w:t>sub</w:t>
      </w:r>
      <w:r w:rsidRPr="00020287">
        <w:rPr>
          <w:rFonts w:ascii="Times New Roman" w:eastAsia="Times New Roman" w:hAnsi="Times New Roman" w:cs="Times New Roman"/>
          <w:sz w:val="24"/>
          <w:szCs w:val="24"/>
        </w:rPr>
        <w:t>corpora</w:t>
      </w:r>
      <w:proofErr w:type="spellEnd"/>
      <w:r w:rsidRPr="00020287">
        <w:rPr>
          <w:rFonts w:ascii="Times New Roman" w:eastAsia="Times New Roman" w:hAnsi="Times New Roman" w:cs="Times New Roman"/>
          <w:sz w:val="24"/>
          <w:szCs w:val="24"/>
        </w:rPr>
        <w:t xml:space="preserve">, the analysis </w:t>
      </w:r>
      <w:r>
        <w:rPr>
          <w:rFonts w:ascii="Times New Roman" w:eastAsia="Times New Roman" w:hAnsi="Times New Roman" w:cs="Times New Roman"/>
          <w:sz w:val="24"/>
          <w:szCs w:val="24"/>
        </w:rPr>
        <w:t xml:space="preserve">has </w:t>
      </w:r>
      <w:r w:rsidRPr="00AA5148">
        <w:rPr>
          <w:rFonts w:ascii="Times New Roman" w:eastAsia="Times New Roman" w:hAnsi="Times New Roman" w:cs="Times New Roman"/>
          <w:sz w:val="24"/>
          <w:szCs w:val="24"/>
        </w:rPr>
        <w:t xml:space="preserve">further </w:t>
      </w:r>
      <w:r w:rsidRPr="00814262">
        <w:rPr>
          <w:rFonts w:ascii="Times New Roman" w:eastAsia="Times New Roman" w:hAnsi="Times New Roman" w:cs="Times New Roman"/>
          <w:sz w:val="24"/>
          <w:szCs w:val="24"/>
        </w:rPr>
        <w:t xml:space="preserve">focused on key linguistic and discursive strategies used to negotiate and legitimize policy action(s). </w:t>
      </w:r>
      <w:r w:rsidRPr="00A207CD">
        <w:rPr>
          <w:rFonts w:ascii="Times New Roman" w:hAnsi="Times New Roman" w:cs="Times New Roman"/>
          <w:sz w:val="24"/>
          <w:szCs w:val="24"/>
          <w:shd w:val="clear" w:color="auto" w:fill="FFFFFF"/>
          <w:lang w:val="en-US"/>
        </w:rPr>
        <w:t xml:space="preserve">The analysis of policy documents </w:t>
      </w:r>
      <w:r w:rsidRPr="00FA2912">
        <w:rPr>
          <w:rFonts w:ascii="Times New Roman" w:hAnsi="Times New Roman" w:cs="Times New Roman"/>
          <w:sz w:val="24"/>
          <w:szCs w:val="24"/>
          <w:shd w:val="clear" w:color="auto" w:fill="FFFFFF"/>
          <w:lang w:val="en-US"/>
        </w:rPr>
        <w:t>has broug</w:t>
      </w:r>
      <w:r w:rsidRPr="00ED5972">
        <w:rPr>
          <w:rFonts w:ascii="Times New Roman" w:hAnsi="Times New Roman" w:cs="Times New Roman"/>
          <w:sz w:val="24"/>
          <w:szCs w:val="24"/>
          <w:shd w:val="clear" w:color="auto" w:fill="FFFFFF"/>
          <w:lang w:val="en-US"/>
        </w:rPr>
        <w:t xml:space="preserve">ht to the fore a number of issues, amongst which </w:t>
      </w:r>
      <w:r w:rsidRPr="00020287">
        <w:rPr>
          <w:rFonts w:ascii="Times New Roman" w:hAnsi="Times New Roman" w:cs="Times New Roman"/>
          <w:sz w:val="24"/>
          <w:szCs w:val="24"/>
          <w:shd w:val="clear" w:color="auto" w:fill="FFFFFF"/>
          <w:lang w:val="en-US"/>
        </w:rPr>
        <w:t xml:space="preserve">a </w:t>
      </w:r>
      <w:r w:rsidRPr="00AA5148">
        <w:rPr>
          <w:rFonts w:ascii="Times New Roman" w:hAnsi="Times New Roman" w:cs="Times New Roman"/>
          <w:sz w:val="24"/>
          <w:szCs w:val="24"/>
          <w:shd w:val="clear" w:color="auto" w:fill="FFFFFF"/>
          <w:lang w:val="en-US"/>
        </w:rPr>
        <w:t>gradual move</w:t>
      </w:r>
      <w:r w:rsidRPr="00AA5148">
        <w:rPr>
          <w:rFonts w:ascii="Times New Roman" w:hAnsi="Times New Roman" w:cs="Times New Roman"/>
          <w:sz w:val="24"/>
          <w:szCs w:val="24"/>
        </w:rPr>
        <w:t xml:space="preserve"> towards the use of abstract terms as a key strategic, discursive tool to promote policy preferences and build consensus</w:t>
      </w:r>
      <w:r w:rsidRPr="00814262">
        <w:rPr>
          <w:rFonts w:ascii="Times New Roman" w:hAnsi="Times New Roman" w:cs="Times New Roman"/>
          <w:sz w:val="24"/>
          <w:szCs w:val="24"/>
        </w:rPr>
        <w:t>. While data show a greater instability of the term ‘mitigation’</w:t>
      </w:r>
      <w:r>
        <w:rPr>
          <w:rFonts w:ascii="Times New Roman" w:hAnsi="Times New Roman" w:cs="Times New Roman"/>
          <w:sz w:val="24"/>
          <w:szCs w:val="24"/>
        </w:rPr>
        <w:t xml:space="preserve"> </w:t>
      </w:r>
      <w:r w:rsidRPr="00814262">
        <w:rPr>
          <w:rFonts w:ascii="Times New Roman" w:hAnsi="Times New Roman" w:cs="Times New Roman"/>
          <w:sz w:val="24"/>
          <w:szCs w:val="24"/>
        </w:rPr>
        <w:t>and its articulations over time, this is somehow concomitant to a clear shift towards a narrativization of adaptation as a critical discursive vehicle,</w:t>
      </w:r>
      <w:r w:rsidRPr="00814262">
        <w:rPr>
          <w:rFonts w:ascii="Times New Roman" w:hAnsi="Times New Roman" w:cs="Times New Roman"/>
          <w:sz w:val="24"/>
          <w:szCs w:val="24"/>
          <w:shd w:val="clear" w:color="auto" w:fill="FFFFFF"/>
          <w:lang w:val="en-US"/>
        </w:rPr>
        <w:t xml:space="preserve"> </w:t>
      </w:r>
      <w:r w:rsidRPr="00814262">
        <w:rPr>
          <w:rFonts w:ascii="Times New Roman" w:eastAsiaTheme="minorHAnsi" w:hAnsi="Times New Roman" w:cs="Times New Roman"/>
          <w:color w:val="000000"/>
          <w:sz w:val="24"/>
          <w:szCs w:val="24"/>
          <w:lang w:eastAsia="en-US"/>
        </w:rPr>
        <w:t xml:space="preserve">positioning the </w:t>
      </w:r>
      <w:r>
        <w:rPr>
          <w:rFonts w:ascii="Times New Roman" w:eastAsiaTheme="minorHAnsi" w:hAnsi="Times New Roman" w:cs="Times New Roman"/>
          <w:color w:val="000000"/>
          <w:sz w:val="24"/>
          <w:szCs w:val="24"/>
          <w:lang w:eastAsia="en-US"/>
        </w:rPr>
        <w:t xml:space="preserve">addressee </w:t>
      </w:r>
      <w:r w:rsidRPr="00814262">
        <w:rPr>
          <w:rFonts w:ascii="Times New Roman" w:eastAsiaTheme="minorHAnsi" w:hAnsi="Times New Roman" w:cs="Times New Roman"/>
          <w:color w:val="000000"/>
          <w:sz w:val="24"/>
          <w:szCs w:val="24"/>
          <w:lang w:eastAsia="en-US"/>
        </w:rPr>
        <w:t xml:space="preserve">to perceive </w:t>
      </w:r>
      <w:r w:rsidRPr="00814262">
        <w:rPr>
          <w:rFonts w:ascii="Times New Roman" w:eastAsia="Times New Roman" w:hAnsi="Times New Roman" w:cs="Times New Roman"/>
          <w:sz w:val="24"/>
          <w:szCs w:val="24"/>
        </w:rPr>
        <w:t>health-related risk-reduction strategies as part of the adaptation process</w:t>
      </w:r>
      <w:r>
        <w:rPr>
          <w:rFonts w:ascii="Times New Roman" w:eastAsia="Times New Roman" w:hAnsi="Times New Roman" w:cs="Times New Roman"/>
          <w:sz w:val="24"/>
          <w:szCs w:val="24"/>
        </w:rPr>
        <w:t xml:space="preserve">, which is also </w:t>
      </w:r>
      <w:r w:rsidRPr="00814262">
        <w:rPr>
          <w:rFonts w:ascii="Times New Roman" w:eastAsia="Times New Roman" w:hAnsi="Times New Roman" w:cs="Times New Roman"/>
          <w:sz w:val="24"/>
          <w:szCs w:val="24"/>
        </w:rPr>
        <w:t>instrumental in naturalizing a</w:t>
      </w:r>
      <w:r>
        <w:rPr>
          <w:rFonts w:ascii="Times New Roman" w:eastAsia="Times New Roman" w:hAnsi="Times New Roman" w:cs="Times New Roman"/>
          <w:sz w:val="24"/>
          <w:szCs w:val="24"/>
        </w:rPr>
        <w:t xml:space="preserve"> </w:t>
      </w:r>
      <w:r w:rsidRPr="00814262">
        <w:rPr>
          <w:rFonts w:ascii="Times New Roman" w:eastAsia="Times New Roman" w:hAnsi="Times New Roman" w:cs="Times New Roman"/>
          <w:sz w:val="24"/>
          <w:szCs w:val="24"/>
        </w:rPr>
        <w:t xml:space="preserve">single-voiced vision. </w:t>
      </w:r>
      <w:r>
        <w:rPr>
          <w:rFonts w:ascii="Times New Roman" w:eastAsia="Times New Roman" w:hAnsi="Times New Roman" w:cs="Times New Roman"/>
          <w:sz w:val="24"/>
          <w:szCs w:val="24"/>
        </w:rPr>
        <w:t>It can thus be</w:t>
      </w:r>
      <w:r>
        <w:rPr>
          <w:rFonts w:ascii="Times New Roman" w:eastAsia="Times New Roman" w:hAnsi="Times New Roman" w:cs="Times New Roman"/>
          <w:sz w:val="24"/>
          <w:szCs w:val="24"/>
          <w:lang w:val="en-US"/>
        </w:rPr>
        <w:t xml:space="preserve"> argued that </w:t>
      </w:r>
      <w:r w:rsidRPr="005A147A">
        <w:rPr>
          <w:rFonts w:ascii="Times New Roman" w:eastAsia="Times New Roman" w:hAnsi="Times New Roman" w:cs="Times New Roman"/>
          <w:sz w:val="24"/>
          <w:szCs w:val="24"/>
          <w:lang w:val="en-US"/>
        </w:rPr>
        <w:t xml:space="preserve">the choice of abstract terms in regard to health-related solutions </w:t>
      </w:r>
      <w:r>
        <w:rPr>
          <w:rFonts w:ascii="Times New Roman" w:eastAsia="Times New Roman" w:hAnsi="Times New Roman" w:cs="Times New Roman"/>
          <w:sz w:val="24"/>
          <w:szCs w:val="24"/>
          <w:lang w:val="en-US"/>
        </w:rPr>
        <w:t xml:space="preserve">also functions </w:t>
      </w:r>
      <w:r w:rsidRPr="005A147A">
        <w:rPr>
          <w:rFonts w:ascii="Times New Roman" w:eastAsia="Times New Roman" w:hAnsi="Times New Roman" w:cs="Times New Roman"/>
          <w:sz w:val="24"/>
          <w:szCs w:val="24"/>
          <w:lang w:val="en-US"/>
        </w:rPr>
        <w:t>a</w:t>
      </w:r>
      <w:r>
        <w:rPr>
          <w:rFonts w:ascii="Times New Roman" w:eastAsia="Times New Roman" w:hAnsi="Times New Roman" w:cs="Times New Roman"/>
          <w:sz w:val="24"/>
          <w:szCs w:val="24"/>
          <w:lang w:val="en-US"/>
        </w:rPr>
        <w:t>s</w:t>
      </w:r>
      <w:r w:rsidRPr="005A147A">
        <w:rPr>
          <w:rFonts w:ascii="Times New Roman" w:eastAsia="Times New Roman" w:hAnsi="Times New Roman" w:cs="Times New Roman"/>
          <w:sz w:val="24"/>
          <w:szCs w:val="24"/>
          <w:lang w:val="en-US"/>
        </w:rPr>
        <w:t xml:space="preserve"> persuasive rhetorical device for identity</w:t>
      </w:r>
      <w:r>
        <w:rPr>
          <w:rFonts w:ascii="Times New Roman" w:eastAsia="Times New Roman" w:hAnsi="Times New Roman" w:cs="Times New Roman"/>
          <w:sz w:val="24"/>
          <w:szCs w:val="24"/>
          <w:lang w:val="en-US"/>
        </w:rPr>
        <w:t>, as well as</w:t>
      </w:r>
      <w:r w:rsidRPr="005A147A">
        <w:rPr>
          <w:rFonts w:ascii="Times New Roman" w:eastAsia="Times New Roman" w:hAnsi="Times New Roman" w:cs="Times New Roman"/>
          <w:sz w:val="24"/>
          <w:szCs w:val="24"/>
          <w:lang w:val="en-US"/>
        </w:rPr>
        <w:t xml:space="preserve"> community building</w:t>
      </w:r>
      <w:r>
        <w:rPr>
          <w:rFonts w:ascii="Times New Roman" w:eastAsia="Times New Roman" w:hAnsi="Times New Roman" w:cs="Times New Roman"/>
          <w:sz w:val="24"/>
          <w:szCs w:val="24"/>
          <w:lang w:val="en-US"/>
        </w:rPr>
        <w:t>.</w:t>
      </w:r>
      <w:r>
        <w:rPr>
          <w:lang w:val="en-US"/>
        </w:rPr>
        <w:t xml:space="preserve"> </w:t>
      </w:r>
      <w:r w:rsidRPr="00814262">
        <w:rPr>
          <w:rFonts w:ascii="Times New Roman" w:hAnsi="Times New Roman" w:cs="Times New Roman"/>
          <w:sz w:val="24"/>
          <w:szCs w:val="24"/>
          <w:shd w:val="clear" w:color="auto" w:fill="FFFFFF"/>
          <w:lang w:val="en-US"/>
        </w:rPr>
        <w:t xml:space="preserve">What also appears evident is that political communication in this domain not only intersects the policy domain </w:t>
      </w:r>
      <w:r w:rsidRPr="00814262">
        <w:rPr>
          <w:rFonts w:ascii="Times New Roman" w:hAnsi="Times New Roman" w:cs="Times New Roman"/>
          <w:sz w:val="24"/>
          <w:szCs w:val="24"/>
          <w:shd w:val="clear" w:color="auto" w:fill="FFFFFF"/>
          <w:lang w:val="en-US"/>
        </w:rPr>
        <w:lastRenderedPageBreak/>
        <w:t>but also helps creating a new shared space for policy response and implementation. More than merely informing, discursive strategies in the EU’s communicative space help create affiliation and allegiances, motivating people around a common cause. While a deep sense of commonality and belonging is thus emphasized, the contested political terrain of the environmental/climate-health nexus finds in its communication, which needs to be understood, believed and accepted, its ultimate goal</w:t>
      </w:r>
      <w:r w:rsidRPr="00814262">
        <w:rPr>
          <w:rFonts w:ascii="Times New Roman" w:hAnsi="Times New Roman" w:cs="Times New Roman"/>
          <w:sz w:val="24"/>
          <w:szCs w:val="24"/>
        </w:rPr>
        <w:t>.</w:t>
      </w:r>
      <w:r>
        <w:rPr>
          <w:rFonts w:ascii="Times New Roman" w:hAnsi="Times New Roman" w:cs="Times New Roman"/>
          <w:sz w:val="24"/>
          <w:szCs w:val="24"/>
        </w:rPr>
        <w:t xml:space="preserve"> </w:t>
      </w:r>
    </w:p>
    <w:p w14:paraId="112BBDF7" w14:textId="77777777" w:rsidR="00A31CC3" w:rsidRPr="00814262" w:rsidRDefault="00A31CC3" w:rsidP="00A31CC3">
      <w:pPr>
        <w:shd w:val="clear" w:color="auto" w:fill="FFFFFF"/>
        <w:spacing w:after="0"/>
        <w:rPr>
          <w:rFonts w:ascii="Times New Roman" w:eastAsia="Times New Roman" w:hAnsi="Times New Roman" w:cs="Times New Roman"/>
          <w:b/>
          <w:bCs/>
          <w:sz w:val="24"/>
          <w:szCs w:val="24"/>
          <w:bdr w:val="none" w:sz="0" w:space="0" w:color="auto" w:frame="1"/>
        </w:rPr>
      </w:pPr>
    </w:p>
    <w:p w14:paraId="562368BF" w14:textId="77777777" w:rsidR="00A31CC3" w:rsidRPr="00814262" w:rsidRDefault="00A31CC3" w:rsidP="00A31CC3">
      <w:pPr>
        <w:shd w:val="clear" w:color="auto" w:fill="FFFFFF"/>
        <w:spacing w:after="0"/>
        <w:rPr>
          <w:rFonts w:ascii="Times New Roman" w:eastAsia="Times New Roman" w:hAnsi="Times New Roman" w:cs="Times New Roman"/>
          <w:b/>
          <w:bCs/>
          <w:sz w:val="24"/>
          <w:szCs w:val="24"/>
          <w:bdr w:val="none" w:sz="0" w:space="0" w:color="auto" w:frame="1"/>
        </w:rPr>
      </w:pPr>
      <w:r w:rsidRPr="00814262">
        <w:rPr>
          <w:rFonts w:ascii="Times New Roman" w:eastAsia="Times New Roman" w:hAnsi="Times New Roman" w:cs="Times New Roman"/>
          <w:b/>
          <w:bCs/>
          <w:sz w:val="24"/>
          <w:szCs w:val="24"/>
          <w:bdr w:val="none" w:sz="0" w:space="0" w:color="auto" w:frame="1"/>
        </w:rPr>
        <w:t>References </w:t>
      </w:r>
    </w:p>
    <w:p w14:paraId="2776542F" w14:textId="77777777" w:rsidR="00A31CC3" w:rsidRPr="00814262" w:rsidRDefault="00A31CC3" w:rsidP="00A31CC3">
      <w:pPr>
        <w:shd w:val="clear" w:color="auto" w:fill="FFFFFF"/>
        <w:spacing w:after="0"/>
        <w:contextualSpacing/>
        <w:mirrorIndents/>
        <w:rPr>
          <w:rFonts w:ascii="Times New Roman" w:eastAsia="Times New Roman" w:hAnsi="Times New Roman" w:cs="Times New Roman"/>
          <w:sz w:val="24"/>
          <w:szCs w:val="24"/>
        </w:rPr>
      </w:pPr>
    </w:p>
    <w:p w14:paraId="01885F07"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rPr>
      </w:pPr>
      <w:proofErr w:type="spellStart"/>
      <w:r w:rsidRPr="00814262">
        <w:rPr>
          <w:rFonts w:ascii="Times New Roman" w:eastAsia="Times New Roman" w:hAnsi="Times New Roman" w:cs="Times New Roman"/>
          <w:sz w:val="24"/>
          <w:szCs w:val="24"/>
          <w:bdr w:val="none" w:sz="0" w:space="0" w:color="auto" w:frame="1"/>
        </w:rPr>
        <w:t>Bacchi</w:t>
      </w:r>
      <w:proofErr w:type="spellEnd"/>
      <w:r w:rsidRPr="00814262">
        <w:rPr>
          <w:rFonts w:ascii="Times New Roman" w:eastAsia="Times New Roman" w:hAnsi="Times New Roman" w:cs="Times New Roman"/>
          <w:sz w:val="24"/>
          <w:szCs w:val="24"/>
          <w:bdr w:val="none" w:sz="0" w:space="0" w:color="auto" w:frame="1"/>
        </w:rPr>
        <w:t>, Carol (2009), </w:t>
      </w:r>
      <w:r w:rsidRPr="00814262">
        <w:rPr>
          <w:rFonts w:ascii="Times New Roman" w:eastAsia="Times New Roman" w:hAnsi="Times New Roman" w:cs="Times New Roman"/>
          <w:i/>
          <w:iCs/>
          <w:sz w:val="24"/>
          <w:szCs w:val="24"/>
          <w:bdr w:val="none" w:sz="0" w:space="0" w:color="auto" w:frame="1"/>
        </w:rPr>
        <w:t>Analysing Policy: What's the Problem Represented to Be?</w:t>
      </w:r>
      <w:r w:rsidRPr="00814262">
        <w:rPr>
          <w:rFonts w:ascii="Times New Roman" w:eastAsia="Times New Roman" w:hAnsi="Times New Roman" w:cs="Times New Roman"/>
          <w:iCs/>
          <w:sz w:val="24"/>
          <w:szCs w:val="24"/>
          <w:bdr w:val="none" w:sz="0" w:space="0" w:color="auto" w:frame="1"/>
        </w:rPr>
        <w:t>,</w:t>
      </w:r>
      <w:r w:rsidRPr="00814262">
        <w:rPr>
          <w:rFonts w:ascii="Times New Roman" w:eastAsia="Times New Roman" w:hAnsi="Times New Roman" w:cs="Times New Roman"/>
          <w:sz w:val="24"/>
          <w:szCs w:val="24"/>
          <w:bdr w:val="none" w:sz="0" w:space="0" w:color="auto" w:frame="1"/>
        </w:rPr>
        <w:t> Frenchs Forest, NSW: Pearson Education. </w:t>
      </w:r>
    </w:p>
    <w:p w14:paraId="67B23BC0"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shd w:val="clear" w:color="auto" w:fill="FFFFFF"/>
        </w:rPr>
      </w:pPr>
      <w:proofErr w:type="spellStart"/>
      <w:r w:rsidRPr="00814262">
        <w:rPr>
          <w:rFonts w:ascii="Times New Roman" w:eastAsia="Times New Roman" w:hAnsi="Times New Roman" w:cs="Times New Roman"/>
          <w:sz w:val="24"/>
          <w:szCs w:val="24"/>
          <w:bdr w:val="none" w:sz="0" w:space="0" w:color="auto" w:frame="1"/>
        </w:rPr>
        <w:t>Bacchi</w:t>
      </w:r>
      <w:proofErr w:type="spellEnd"/>
      <w:r w:rsidRPr="00814262">
        <w:rPr>
          <w:rFonts w:ascii="Times New Roman" w:eastAsia="Times New Roman" w:hAnsi="Times New Roman" w:cs="Times New Roman"/>
          <w:sz w:val="24"/>
          <w:szCs w:val="24"/>
          <w:bdr w:val="none" w:sz="0" w:space="0" w:color="auto" w:frame="1"/>
        </w:rPr>
        <w:t xml:space="preserve">, Carol (2016), “Problematizations in Health Policy: Questioning How “Problems” Are Constituted in Policies”, </w:t>
      </w:r>
      <w:r w:rsidRPr="00814262">
        <w:rPr>
          <w:rFonts w:ascii="Times New Roman" w:eastAsia="Times New Roman" w:hAnsi="Times New Roman" w:cs="Times New Roman"/>
          <w:i/>
          <w:sz w:val="24"/>
          <w:szCs w:val="24"/>
          <w:shd w:val="clear" w:color="auto" w:fill="FFFFFF"/>
        </w:rPr>
        <w:t>Health Communication, Business and Management</w:t>
      </w:r>
      <w:r w:rsidRPr="00814262">
        <w:rPr>
          <w:rFonts w:ascii="Times New Roman" w:eastAsia="Times New Roman" w:hAnsi="Times New Roman" w:cs="Times New Roman"/>
          <w:sz w:val="24"/>
          <w:szCs w:val="24"/>
          <w:shd w:val="clear" w:color="auto" w:fill="FFFFFF"/>
        </w:rPr>
        <w:t xml:space="preserve">, 6:12, 1-16. </w:t>
      </w:r>
    </w:p>
    <w:p w14:paraId="3BAB1509"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814262">
        <w:rPr>
          <w:rFonts w:ascii="Times New Roman" w:eastAsia="Times New Roman" w:hAnsi="Times New Roman" w:cs="Times New Roman"/>
          <w:sz w:val="24"/>
          <w:szCs w:val="24"/>
          <w:bdr w:val="none" w:sz="0" w:space="0" w:color="auto" w:frame="1"/>
        </w:rPr>
        <w:t xml:space="preserve">Baker, Paul (2006), </w:t>
      </w:r>
      <w:r w:rsidRPr="00814262">
        <w:rPr>
          <w:rFonts w:ascii="Times New Roman" w:eastAsia="Times New Roman" w:hAnsi="Times New Roman" w:cs="Times New Roman"/>
          <w:i/>
          <w:sz w:val="24"/>
          <w:szCs w:val="24"/>
          <w:bdr w:val="none" w:sz="0" w:space="0" w:color="auto" w:frame="1"/>
        </w:rPr>
        <w:t>Using Corpora in Discourse</w:t>
      </w:r>
      <w:r w:rsidRPr="00814262">
        <w:rPr>
          <w:rFonts w:ascii="Times New Roman" w:eastAsia="Times New Roman" w:hAnsi="Times New Roman" w:cs="Times New Roman"/>
          <w:sz w:val="24"/>
          <w:szCs w:val="24"/>
          <w:bdr w:val="none" w:sz="0" w:space="0" w:color="auto" w:frame="1"/>
        </w:rPr>
        <w:t xml:space="preserve"> Analysis, London and New York: Bloomsbury. </w:t>
      </w:r>
    </w:p>
    <w:p w14:paraId="2D52C8DF"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814262">
        <w:rPr>
          <w:rFonts w:ascii="Times New Roman" w:eastAsia="Times New Roman" w:hAnsi="Times New Roman" w:cs="Times New Roman"/>
          <w:sz w:val="24"/>
          <w:szCs w:val="24"/>
          <w:bdr w:val="none" w:sz="0" w:space="0" w:color="auto" w:frame="1"/>
        </w:rPr>
        <w:t xml:space="preserve">Baker, Paul, </w:t>
      </w:r>
      <w:proofErr w:type="spellStart"/>
      <w:r w:rsidRPr="00814262">
        <w:rPr>
          <w:rFonts w:ascii="Times New Roman" w:eastAsia="Times New Roman" w:hAnsi="Times New Roman" w:cs="Times New Roman"/>
          <w:sz w:val="24"/>
          <w:szCs w:val="24"/>
          <w:bdr w:val="none" w:sz="0" w:space="0" w:color="auto" w:frame="1"/>
        </w:rPr>
        <w:t>Gabrielatos</w:t>
      </w:r>
      <w:proofErr w:type="spellEnd"/>
      <w:r w:rsidRPr="00814262">
        <w:rPr>
          <w:rFonts w:ascii="Times New Roman" w:eastAsia="Times New Roman" w:hAnsi="Times New Roman" w:cs="Times New Roman"/>
          <w:sz w:val="24"/>
          <w:szCs w:val="24"/>
          <w:bdr w:val="none" w:sz="0" w:space="0" w:color="auto" w:frame="1"/>
        </w:rPr>
        <w:t xml:space="preserve"> Costas, </w:t>
      </w:r>
      <w:proofErr w:type="spellStart"/>
      <w:r w:rsidRPr="00814262">
        <w:rPr>
          <w:rFonts w:ascii="Times New Roman" w:eastAsia="Times New Roman" w:hAnsi="Times New Roman" w:cs="Times New Roman"/>
          <w:sz w:val="24"/>
          <w:szCs w:val="24"/>
          <w:bdr w:val="none" w:sz="0" w:space="0" w:color="auto" w:frame="1"/>
        </w:rPr>
        <w:t>Khosravinik</w:t>
      </w:r>
      <w:proofErr w:type="spellEnd"/>
      <w:r w:rsidRPr="00814262">
        <w:rPr>
          <w:rFonts w:ascii="Times New Roman" w:eastAsia="Times New Roman" w:hAnsi="Times New Roman" w:cs="Times New Roman"/>
          <w:sz w:val="24"/>
          <w:szCs w:val="24"/>
          <w:bdr w:val="none" w:sz="0" w:space="0" w:color="auto" w:frame="1"/>
        </w:rPr>
        <w:t xml:space="preserve">, M., </w:t>
      </w:r>
      <w:proofErr w:type="spellStart"/>
      <w:r w:rsidRPr="00814262">
        <w:rPr>
          <w:rFonts w:ascii="Times New Roman" w:eastAsia="Times New Roman" w:hAnsi="Times New Roman" w:cs="Times New Roman"/>
          <w:sz w:val="24"/>
          <w:szCs w:val="24"/>
          <w:bdr w:val="none" w:sz="0" w:space="0" w:color="auto" w:frame="1"/>
        </w:rPr>
        <w:t>Kryzanowski</w:t>
      </w:r>
      <w:proofErr w:type="spellEnd"/>
      <w:r w:rsidRPr="00814262">
        <w:rPr>
          <w:rFonts w:ascii="Times New Roman" w:eastAsia="Times New Roman" w:hAnsi="Times New Roman" w:cs="Times New Roman"/>
          <w:sz w:val="24"/>
          <w:szCs w:val="24"/>
          <w:bdr w:val="none" w:sz="0" w:space="0" w:color="auto" w:frame="1"/>
        </w:rPr>
        <w:t xml:space="preserve">, Michal, McEnery, Tony and Ruth </w:t>
      </w:r>
      <w:proofErr w:type="spellStart"/>
      <w:r w:rsidRPr="00814262">
        <w:rPr>
          <w:rFonts w:ascii="Times New Roman" w:eastAsia="Times New Roman" w:hAnsi="Times New Roman" w:cs="Times New Roman"/>
          <w:sz w:val="24"/>
          <w:szCs w:val="24"/>
          <w:bdr w:val="none" w:sz="0" w:space="0" w:color="auto" w:frame="1"/>
        </w:rPr>
        <w:t>Wodak</w:t>
      </w:r>
      <w:proofErr w:type="spellEnd"/>
      <w:r w:rsidRPr="00814262">
        <w:rPr>
          <w:rFonts w:ascii="Times New Roman" w:eastAsia="Times New Roman" w:hAnsi="Times New Roman" w:cs="Times New Roman"/>
          <w:sz w:val="24"/>
          <w:szCs w:val="24"/>
          <w:bdr w:val="none" w:sz="0" w:space="0" w:color="auto" w:frame="1"/>
        </w:rPr>
        <w:t xml:space="preserve"> ( 2008), “A Useful Methodological Synergy? Combining Critical Discourse Analysis and Corpus Linguistics to Examine Discourses of Refugees and Asylum Seekers in the UK Press”, </w:t>
      </w:r>
      <w:r w:rsidRPr="00814262">
        <w:rPr>
          <w:rFonts w:ascii="Times New Roman" w:eastAsia="Times New Roman" w:hAnsi="Times New Roman" w:cs="Times New Roman"/>
          <w:i/>
          <w:sz w:val="24"/>
          <w:szCs w:val="24"/>
          <w:bdr w:val="none" w:sz="0" w:space="0" w:color="auto" w:frame="1"/>
        </w:rPr>
        <w:t>Discourse &amp; Society</w:t>
      </w:r>
      <w:r w:rsidRPr="00814262">
        <w:rPr>
          <w:rFonts w:ascii="Times New Roman" w:eastAsia="Times New Roman" w:hAnsi="Times New Roman" w:cs="Times New Roman"/>
          <w:sz w:val="24"/>
          <w:szCs w:val="24"/>
          <w:bdr w:val="none" w:sz="0" w:space="0" w:color="auto" w:frame="1"/>
        </w:rPr>
        <w:t>, 19 (3): 273–306.</w:t>
      </w:r>
    </w:p>
    <w:p w14:paraId="5BF0DB3E"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814262">
        <w:rPr>
          <w:rFonts w:ascii="Times New Roman" w:eastAsia="Times New Roman" w:hAnsi="Times New Roman" w:cs="Times New Roman"/>
          <w:sz w:val="24"/>
          <w:szCs w:val="24"/>
          <w:bdr w:val="none" w:sz="0" w:space="0" w:color="auto" w:frame="1"/>
        </w:rPr>
        <w:t xml:space="preserve">Bee, Cristiano (2010), “Understanding the EU’s institutional communication. Principles and structure of a contested policy”, in Bee Cristiano, </w:t>
      </w:r>
      <w:proofErr w:type="spellStart"/>
      <w:r w:rsidRPr="00814262">
        <w:rPr>
          <w:rFonts w:ascii="Times New Roman" w:eastAsia="Times New Roman" w:hAnsi="Times New Roman" w:cs="Times New Roman"/>
          <w:sz w:val="24"/>
          <w:szCs w:val="24"/>
          <w:bdr w:val="none" w:sz="0" w:space="0" w:color="auto" w:frame="1"/>
        </w:rPr>
        <w:t>Bozzini</w:t>
      </w:r>
      <w:proofErr w:type="spellEnd"/>
      <w:r w:rsidRPr="00814262">
        <w:rPr>
          <w:rFonts w:ascii="Times New Roman" w:eastAsia="Times New Roman" w:hAnsi="Times New Roman" w:cs="Times New Roman"/>
          <w:sz w:val="24"/>
          <w:szCs w:val="24"/>
          <w:bdr w:val="none" w:sz="0" w:space="0" w:color="auto" w:frame="1"/>
        </w:rPr>
        <w:t xml:space="preserve"> </w:t>
      </w:r>
      <w:proofErr w:type="spellStart"/>
      <w:r w:rsidRPr="00814262">
        <w:rPr>
          <w:rFonts w:ascii="Times New Roman" w:eastAsia="Times New Roman" w:hAnsi="Times New Roman" w:cs="Times New Roman"/>
          <w:sz w:val="24"/>
          <w:szCs w:val="24"/>
          <w:bdr w:val="none" w:sz="0" w:space="0" w:color="auto" w:frame="1"/>
        </w:rPr>
        <w:t>Emanuela</w:t>
      </w:r>
      <w:proofErr w:type="spellEnd"/>
      <w:r w:rsidRPr="00814262">
        <w:rPr>
          <w:rFonts w:ascii="Times New Roman" w:eastAsia="Times New Roman" w:hAnsi="Times New Roman" w:cs="Times New Roman"/>
          <w:sz w:val="24"/>
          <w:szCs w:val="24"/>
          <w:bdr w:val="none" w:sz="0" w:space="0" w:color="auto" w:frame="1"/>
        </w:rPr>
        <w:t xml:space="preserve"> (Eds.) </w:t>
      </w:r>
      <w:r w:rsidRPr="00814262">
        <w:rPr>
          <w:rFonts w:ascii="Times New Roman" w:eastAsia="Times New Roman" w:hAnsi="Times New Roman" w:cs="Times New Roman"/>
          <w:i/>
          <w:iCs/>
          <w:sz w:val="24"/>
          <w:szCs w:val="24"/>
          <w:bdr w:val="none" w:sz="0" w:space="0" w:color="auto" w:frame="1"/>
        </w:rPr>
        <w:t>Mapping the European public sphere: Institutions, Media and Civil Society</w:t>
      </w:r>
      <w:r w:rsidRPr="00814262">
        <w:rPr>
          <w:rFonts w:ascii="Times New Roman" w:eastAsia="Times New Roman" w:hAnsi="Times New Roman" w:cs="Times New Roman"/>
          <w:sz w:val="24"/>
          <w:szCs w:val="24"/>
          <w:bdr w:val="none" w:sz="0" w:space="0" w:color="auto" w:frame="1"/>
        </w:rPr>
        <w:t>, Aldershot: Ashgate Publishing, 83-98.</w:t>
      </w:r>
    </w:p>
    <w:p w14:paraId="4217B742" w14:textId="77777777" w:rsidR="00A31CC3" w:rsidRPr="00814262" w:rsidRDefault="00A31CC3" w:rsidP="00A31CC3">
      <w:pPr>
        <w:spacing w:after="0"/>
        <w:ind w:left="708" w:hanging="708"/>
        <w:contextualSpacing/>
        <w:mirrorIndents/>
        <w:jc w:val="both"/>
        <w:rPr>
          <w:rFonts w:ascii="Times New Roman" w:eastAsia="Palatino" w:hAnsi="Times New Roman" w:cs="Times New Roman"/>
          <w:sz w:val="24"/>
          <w:szCs w:val="24"/>
          <w:lang w:val="en-US" w:eastAsia="en-US"/>
        </w:rPr>
      </w:pPr>
      <w:r w:rsidRPr="00814262">
        <w:rPr>
          <w:rFonts w:ascii="Times New Roman" w:eastAsiaTheme="minorHAnsi" w:hAnsi="Times New Roman" w:cs="Times New Roman"/>
          <w:sz w:val="24"/>
          <w:szCs w:val="24"/>
          <w:lang w:val="en-US" w:eastAsia="en-US"/>
        </w:rPr>
        <w:t>Bevitori</w:t>
      </w:r>
      <w:r w:rsidRPr="00A207CD">
        <w:rPr>
          <w:rFonts w:ascii="Times New Roman" w:eastAsiaTheme="minorHAnsi" w:hAnsi="Times New Roman" w:cs="Times New Roman"/>
          <w:sz w:val="24"/>
          <w:szCs w:val="24"/>
          <w:lang w:val="en-US" w:eastAsia="en-US"/>
        </w:rPr>
        <w:fldChar w:fldCharType="begin"/>
      </w:r>
      <w:r w:rsidRPr="00A207CD">
        <w:rPr>
          <w:rFonts w:ascii="Times New Roman" w:eastAsiaTheme="minorHAnsi" w:hAnsi="Times New Roman" w:cs="Times New Roman"/>
          <w:sz w:val="24"/>
          <w:szCs w:val="24"/>
          <w:lang w:eastAsia="en-US"/>
        </w:rPr>
        <w:instrText xml:space="preserve"> XE "Bevitori, Cinzia" </w:instrText>
      </w:r>
      <w:r w:rsidRPr="00A207CD">
        <w:rPr>
          <w:rFonts w:ascii="Times New Roman" w:eastAsiaTheme="minorHAnsi" w:hAnsi="Times New Roman" w:cs="Times New Roman"/>
          <w:sz w:val="24"/>
          <w:szCs w:val="24"/>
          <w:lang w:val="en-US" w:eastAsia="en-US"/>
        </w:rPr>
        <w:fldChar w:fldCharType="end"/>
      </w:r>
      <w:r w:rsidRPr="00A207CD">
        <w:rPr>
          <w:rFonts w:ascii="Times New Roman" w:eastAsiaTheme="minorHAnsi" w:hAnsi="Times New Roman" w:cs="Times New Roman"/>
          <w:sz w:val="24"/>
          <w:szCs w:val="24"/>
          <w:lang w:val="en-US" w:eastAsia="en-US"/>
        </w:rPr>
        <w:t xml:space="preserve">, Cinzia (2011). “The Meanings of </w:t>
      </w:r>
      <w:r w:rsidRPr="00A207CD">
        <w:rPr>
          <w:rFonts w:ascii="Times New Roman" w:eastAsiaTheme="minorHAnsi" w:hAnsi="Times New Roman" w:cs="Times New Roman"/>
          <w:i/>
          <w:sz w:val="24"/>
          <w:szCs w:val="24"/>
          <w:lang w:val="en-US" w:eastAsia="en-US"/>
        </w:rPr>
        <w:t>Responsibility</w:t>
      </w:r>
      <w:r w:rsidRPr="00A207CD">
        <w:rPr>
          <w:rFonts w:ascii="Times New Roman" w:eastAsiaTheme="minorHAnsi" w:hAnsi="Times New Roman" w:cs="Times New Roman"/>
          <w:sz w:val="24"/>
          <w:szCs w:val="24"/>
          <w:lang w:val="en-US" w:eastAsia="en-US"/>
        </w:rPr>
        <w:t xml:space="preserve"> in the British and American Press on Climate Change: A Corpus-Assisted Discourse Analysis Perspec</w:t>
      </w:r>
      <w:r w:rsidRPr="00ED5972">
        <w:rPr>
          <w:rFonts w:ascii="Times New Roman" w:eastAsiaTheme="minorHAnsi" w:hAnsi="Times New Roman" w:cs="Times New Roman"/>
          <w:sz w:val="24"/>
          <w:szCs w:val="24"/>
          <w:lang w:val="en-US" w:eastAsia="en-US"/>
        </w:rPr>
        <w:t xml:space="preserve">tive”. In </w:t>
      </w:r>
      <w:r w:rsidRPr="00ED5972">
        <w:rPr>
          <w:rFonts w:ascii="Times New Roman" w:eastAsiaTheme="minorHAnsi" w:hAnsi="Times New Roman" w:cs="Times New Roman"/>
          <w:sz w:val="24"/>
          <w:szCs w:val="24"/>
          <w:shd w:val="clear" w:color="auto" w:fill="FFFFFF"/>
          <w:lang w:eastAsia="en-US"/>
        </w:rPr>
        <w:t xml:space="preserve">Stanislaw </w:t>
      </w:r>
      <w:proofErr w:type="spellStart"/>
      <w:r w:rsidRPr="00020287">
        <w:rPr>
          <w:rFonts w:ascii="Times New Roman" w:eastAsiaTheme="minorHAnsi" w:hAnsi="Times New Roman" w:cs="Times New Roman"/>
          <w:sz w:val="24"/>
          <w:szCs w:val="24"/>
          <w:lang w:val="en-US" w:eastAsia="en-US"/>
        </w:rPr>
        <w:t>Goźdź</w:t>
      </w:r>
      <w:proofErr w:type="spellEnd"/>
      <w:r w:rsidRPr="00020287">
        <w:rPr>
          <w:rFonts w:ascii="Times New Roman" w:eastAsiaTheme="minorHAnsi" w:hAnsi="Times New Roman" w:cs="Times New Roman"/>
          <w:sz w:val="24"/>
          <w:szCs w:val="24"/>
          <w:lang w:val="en-US" w:eastAsia="en-US"/>
        </w:rPr>
        <w:t xml:space="preserve">-Roszkowski (Ed), </w:t>
      </w:r>
      <w:r w:rsidRPr="00AA5148">
        <w:rPr>
          <w:rFonts w:ascii="Times New Roman" w:eastAsiaTheme="minorHAnsi" w:hAnsi="Times New Roman" w:cs="Times New Roman"/>
          <w:i/>
          <w:sz w:val="24"/>
          <w:szCs w:val="24"/>
          <w:lang w:val="en-US" w:eastAsia="en-US"/>
        </w:rPr>
        <w:t>Explorations across Languages and Corpora</w:t>
      </w:r>
      <w:r w:rsidRPr="00AA5148">
        <w:rPr>
          <w:rFonts w:ascii="Times New Roman" w:eastAsiaTheme="minorHAnsi" w:hAnsi="Times New Roman" w:cs="Times New Roman"/>
          <w:sz w:val="24"/>
          <w:szCs w:val="24"/>
          <w:lang w:val="en-US" w:eastAsia="en-US"/>
        </w:rPr>
        <w:t>. Bern: Peter Lang, 243-260.</w:t>
      </w:r>
      <w:r w:rsidRPr="00814262">
        <w:rPr>
          <w:rFonts w:ascii="Times New Roman" w:eastAsiaTheme="minorHAnsi" w:hAnsi="Times New Roman" w:cs="Times New Roman"/>
          <w:sz w:val="24"/>
          <w:szCs w:val="24"/>
          <w:lang w:val="en-US" w:eastAsia="en-US"/>
        </w:rPr>
        <w:t xml:space="preserve"> </w:t>
      </w:r>
    </w:p>
    <w:p w14:paraId="22DE41BC" w14:textId="77777777" w:rsidR="00A31CC3" w:rsidRPr="00020287" w:rsidRDefault="00A31CC3" w:rsidP="00A31CC3">
      <w:pPr>
        <w:spacing w:after="0"/>
        <w:ind w:left="708" w:hanging="708"/>
        <w:contextualSpacing/>
        <w:mirrorIndents/>
        <w:jc w:val="both"/>
        <w:rPr>
          <w:rFonts w:ascii="Times New Roman" w:eastAsia="Palatino" w:hAnsi="Times New Roman" w:cs="Times New Roman"/>
          <w:sz w:val="24"/>
          <w:szCs w:val="24"/>
          <w:lang w:val="en-US" w:eastAsia="en-US"/>
        </w:rPr>
      </w:pPr>
      <w:r w:rsidRPr="00814262">
        <w:rPr>
          <w:rFonts w:ascii="Times New Roman" w:eastAsiaTheme="minorHAnsi" w:hAnsi="Times New Roman" w:cs="Times New Roman"/>
          <w:sz w:val="24"/>
          <w:szCs w:val="24"/>
          <w:lang w:val="en-US" w:eastAsia="en-US"/>
        </w:rPr>
        <w:t>Bevitori</w:t>
      </w:r>
      <w:r w:rsidRPr="00A207CD">
        <w:rPr>
          <w:rFonts w:ascii="Times New Roman" w:eastAsiaTheme="minorHAnsi" w:hAnsi="Times New Roman" w:cs="Times New Roman"/>
          <w:sz w:val="24"/>
          <w:szCs w:val="24"/>
          <w:lang w:val="en-US" w:eastAsia="en-US"/>
        </w:rPr>
        <w:fldChar w:fldCharType="begin"/>
      </w:r>
      <w:r w:rsidRPr="00A207CD">
        <w:rPr>
          <w:rFonts w:ascii="Times New Roman" w:eastAsiaTheme="minorHAnsi" w:hAnsi="Times New Roman" w:cs="Times New Roman"/>
          <w:sz w:val="24"/>
          <w:szCs w:val="24"/>
          <w:lang w:eastAsia="en-US"/>
        </w:rPr>
        <w:instrText xml:space="preserve"> XE "Bevitori, Cinzia" </w:instrText>
      </w:r>
      <w:r w:rsidRPr="00A207CD">
        <w:rPr>
          <w:rFonts w:ascii="Times New Roman" w:eastAsiaTheme="minorHAnsi" w:hAnsi="Times New Roman" w:cs="Times New Roman"/>
          <w:sz w:val="24"/>
          <w:szCs w:val="24"/>
          <w:lang w:val="en-US" w:eastAsia="en-US"/>
        </w:rPr>
        <w:fldChar w:fldCharType="end"/>
      </w:r>
      <w:r w:rsidRPr="00A207CD">
        <w:rPr>
          <w:rFonts w:ascii="Times New Roman" w:eastAsiaTheme="minorHAnsi" w:hAnsi="Times New Roman" w:cs="Times New Roman"/>
          <w:sz w:val="24"/>
          <w:szCs w:val="24"/>
          <w:lang w:val="en-US" w:eastAsia="en-US"/>
        </w:rPr>
        <w:t>, Cinzia (2014). “Values, Assumptions and Beliefs in British Newspaper Editorial Coverage of Climate Change”, In Christopher</w:t>
      </w:r>
      <w:r w:rsidRPr="00ED5972">
        <w:rPr>
          <w:rFonts w:ascii="Times New Roman" w:eastAsiaTheme="minorHAnsi" w:hAnsi="Times New Roman" w:cs="Times New Roman"/>
          <w:sz w:val="24"/>
          <w:szCs w:val="24"/>
          <w:shd w:val="clear" w:color="auto" w:fill="FFFFFF"/>
          <w:lang w:eastAsia="en-US"/>
        </w:rPr>
        <w:t xml:space="preserve"> </w:t>
      </w:r>
      <w:r w:rsidRPr="00ED5972">
        <w:rPr>
          <w:rFonts w:ascii="Times New Roman" w:eastAsiaTheme="minorHAnsi" w:hAnsi="Times New Roman" w:cs="Times New Roman"/>
          <w:sz w:val="24"/>
          <w:szCs w:val="24"/>
          <w:lang w:val="en-US" w:eastAsia="en-US"/>
        </w:rPr>
        <w:t>Hart and Piotr Cap (Eds.), Contemporary Critical Discourse Studies. London and New York: Bloomsbury, 603-626.</w:t>
      </w:r>
    </w:p>
    <w:p w14:paraId="438C8C35"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lang w:val="en-US"/>
        </w:rPr>
      </w:pPr>
      <w:r w:rsidRPr="00AA5148">
        <w:rPr>
          <w:rFonts w:ascii="Times New Roman" w:eastAsia="Times New Roman" w:hAnsi="Times New Roman" w:cs="Times New Roman"/>
          <w:sz w:val="24"/>
          <w:szCs w:val="24"/>
          <w:lang w:val="en-US"/>
        </w:rPr>
        <w:t>Burns, Charlotte., Eckersley, Peter, and Paul Tobin (2020), “EU environmental policy in times of crisis. </w:t>
      </w:r>
      <w:r w:rsidRPr="00AC15D8">
        <w:rPr>
          <w:rFonts w:ascii="Times New Roman" w:eastAsia="Times New Roman" w:hAnsi="Times New Roman" w:cs="Times New Roman"/>
          <w:i/>
          <w:iCs/>
          <w:sz w:val="24"/>
          <w:szCs w:val="24"/>
          <w:lang w:val="en-US"/>
        </w:rPr>
        <w:t>Journal of European Public Policy”</w:t>
      </w:r>
      <w:r w:rsidRPr="00A44750">
        <w:rPr>
          <w:rFonts w:ascii="Times New Roman" w:eastAsia="Times New Roman" w:hAnsi="Times New Roman" w:cs="Times New Roman"/>
          <w:sz w:val="24"/>
          <w:szCs w:val="24"/>
          <w:lang w:val="en-US"/>
        </w:rPr>
        <w:t>, </w:t>
      </w:r>
      <w:r w:rsidRPr="00814262">
        <w:rPr>
          <w:rFonts w:ascii="Times New Roman" w:eastAsia="Times New Roman" w:hAnsi="Times New Roman" w:cs="Times New Roman"/>
          <w:i/>
          <w:iCs/>
          <w:sz w:val="24"/>
          <w:szCs w:val="24"/>
          <w:lang w:val="en-US"/>
        </w:rPr>
        <w:t>27</w:t>
      </w:r>
      <w:r w:rsidRPr="00814262">
        <w:rPr>
          <w:rFonts w:ascii="Times New Roman" w:eastAsia="Times New Roman" w:hAnsi="Times New Roman" w:cs="Times New Roman"/>
          <w:sz w:val="24"/>
          <w:szCs w:val="24"/>
          <w:lang w:val="en-US"/>
        </w:rPr>
        <w:t>(1), 1–19.</w:t>
      </w:r>
    </w:p>
    <w:p w14:paraId="01EBAEF7"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shd w:val="clear" w:color="auto" w:fill="FFFFFF"/>
        </w:rPr>
      </w:pPr>
      <w:r w:rsidRPr="00814262">
        <w:rPr>
          <w:rFonts w:ascii="Times New Roman" w:eastAsia="Times New Roman" w:hAnsi="Times New Roman" w:cs="Times New Roman"/>
          <w:sz w:val="24"/>
          <w:szCs w:val="24"/>
          <w:bdr w:val="none" w:sz="0" w:space="0" w:color="auto" w:frame="1"/>
        </w:rPr>
        <w:t xml:space="preserve">Cap, Piotr and </w:t>
      </w:r>
      <w:proofErr w:type="spellStart"/>
      <w:r w:rsidRPr="00814262">
        <w:rPr>
          <w:rFonts w:ascii="Times New Roman" w:eastAsia="Times New Roman" w:hAnsi="Times New Roman" w:cs="Times New Roman"/>
          <w:sz w:val="24"/>
          <w:szCs w:val="24"/>
          <w:bdr w:val="none" w:sz="0" w:space="0" w:color="auto" w:frame="1"/>
        </w:rPr>
        <w:t>Urzsula</w:t>
      </w:r>
      <w:proofErr w:type="spellEnd"/>
      <w:r w:rsidRPr="00814262">
        <w:rPr>
          <w:rFonts w:ascii="Times New Roman" w:eastAsia="Times New Roman" w:hAnsi="Times New Roman" w:cs="Times New Roman"/>
          <w:sz w:val="24"/>
          <w:szCs w:val="24"/>
          <w:bdr w:val="none" w:sz="0" w:space="0" w:color="auto" w:frame="1"/>
        </w:rPr>
        <w:t xml:space="preserve"> </w:t>
      </w:r>
      <w:proofErr w:type="spellStart"/>
      <w:r w:rsidRPr="00814262">
        <w:rPr>
          <w:rFonts w:ascii="Times New Roman" w:eastAsia="Times New Roman" w:hAnsi="Times New Roman" w:cs="Times New Roman"/>
          <w:sz w:val="24"/>
          <w:szCs w:val="24"/>
          <w:bdr w:val="none" w:sz="0" w:space="0" w:color="auto" w:frame="1"/>
        </w:rPr>
        <w:t>Okulska</w:t>
      </w:r>
      <w:proofErr w:type="spellEnd"/>
      <w:r w:rsidRPr="00814262">
        <w:rPr>
          <w:rFonts w:ascii="Times New Roman" w:eastAsia="Times New Roman" w:hAnsi="Times New Roman" w:cs="Times New Roman"/>
          <w:sz w:val="24"/>
          <w:szCs w:val="24"/>
          <w:bdr w:val="none" w:sz="0" w:space="0" w:color="auto" w:frame="1"/>
        </w:rPr>
        <w:t xml:space="preserve"> (2013), </w:t>
      </w:r>
      <w:proofErr w:type="spellStart"/>
      <w:r w:rsidRPr="00814262">
        <w:rPr>
          <w:rFonts w:ascii="Times New Roman" w:eastAsia="Times New Roman" w:hAnsi="Times New Roman" w:cs="Times New Roman"/>
          <w:i/>
          <w:sz w:val="24"/>
          <w:szCs w:val="24"/>
          <w:bdr w:val="none" w:sz="0" w:space="0" w:color="auto" w:frame="1"/>
        </w:rPr>
        <w:t>Analyzing</w:t>
      </w:r>
      <w:proofErr w:type="spellEnd"/>
      <w:r w:rsidRPr="00814262">
        <w:rPr>
          <w:rFonts w:ascii="Times New Roman" w:eastAsia="Times New Roman" w:hAnsi="Times New Roman" w:cs="Times New Roman"/>
          <w:i/>
          <w:sz w:val="24"/>
          <w:szCs w:val="24"/>
          <w:bdr w:val="none" w:sz="0" w:space="0" w:color="auto" w:frame="1"/>
        </w:rPr>
        <w:t xml:space="preserve"> Genres in Political Communication: Theory and Practice, </w:t>
      </w:r>
      <w:r w:rsidRPr="00814262">
        <w:rPr>
          <w:rFonts w:ascii="Times New Roman" w:eastAsia="Times New Roman" w:hAnsi="Times New Roman" w:cs="Times New Roman"/>
          <w:sz w:val="24"/>
          <w:szCs w:val="24"/>
          <w:bdr w:val="none" w:sz="0" w:space="0" w:color="auto" w:frame="1"/>
        </w:rPr>
        <w:t xml:space="preserve">Amsterdam/Philadelphia, </w:t>
      </w:r>
      <w:r w:rsidRPr="00814262">
        <w:rPr>
          <w:rFonts w:ascii="Times New Roman" w:eastAsia="Times New Roman" w:hAnsi="Times New Roman" w:cs="Times New Roman"/>
          <w:sz w:val="24"/>
          <w:szCs w:val="24"/>
          <w:shd w:val="clear" w:color="auto" w:fill="FFFFFF"/>
        </w:rPr>
        <w:t xml:space="preserve">John </w:t>
      </w:r>
      <w:proofErr w:type="spellStart"/>
      <w:r w:rsidRPr="00814262">
        <w:rPr>
          <w:rFonts w:ascii="Times New Roman" w:eastAsia="Times New Roman" w:hAnsi="Times New Roman" w:cs="Times New Roman"/>
          <w:sz w:val="24"/>
          <w:szCs w:val="24"/>
          <w:shd w:val="clear" w:color="auto" w:fill="FFFFFF"/>
        </w:rPr>
        <w:t>Benjamins</w:t>
      </w:r>
      <w:proofErr w:type="spellEnd"/>
      <w:r w:rsidRPr="00814262">
        <w:rPr>
          <w:rFonts w:ascii="Times New Roman" w:eastAsia="Times New Roman" w:hAnsi="Times New Roman" w:cs="Times New Roman"/>
          <w:sz w:val="24"/>
          <w:szCs w:val="24"/>
          <w:shd w:val="clear" w:color="auto" w:fill="FFFFFF"/>
        </w:rPr>
        <w:t xml:space="preserve"> Publishing. </w:t>
      </w:r>
    </w:p>
    <w:p w14:paraId="49A3E7D0"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i/>
          <w:iCs/>
          <w:sz w:val="24"/>
          <w:szCs w:val="24"/>
          <w:lang w:val="en-US"/>
        </w:rPr>
      </w:pPr>
      <w:r w:rsidRPr="00814262">
        <w:rPr>
          <w:rFonts w:ascii="Times New Roman" w:eastAsia="Times New Roman" w:hAnsi="Times New Roman" w:cs="Times New Roman"/>
          <w:sz w:val="24"/>
          <w:szCs w:val="24"/>
          <w:lang w:val="en-US"/>
        </w:rPr>
        <w:t xml:space="preserve">Cap, Piotr (2017), </w:t>
      </w:r>
      <w:r w:rsidRPr="00814262">
        <w:rPr>
          <w:rFonts w:ascii="Times New Roman" w:eastAsia="Times New Roman" w:hAnsi="Times New Roman" w:cs="Times New Roman"/>
          <w:i/>
          <w:iCs/>
          <w:sz w:val="24"/>
          <w:szCs w:val="24"/>
          <w:lang w:val="en-US"/>
        </w:rPr>
        <w:t>The Language of Fear. Communicating Threat in Public Discourse.</w:t>
      </w:r>
      <w:r w:rsidRPr="00814262">
        <w:rPr>
          <w:rFonts w:ascii="Times New Roman" w:eastAsia="Times New Roman" w:hAnsi="Times New Roman" w:cs="Times New Roman"/>
          <w:sz w:val="24"/>
          <w:szCs w:val="24"/>
          <w:lang w:val="en-US"/>
        </w:rPr>
        <w:t xml:space="preserve"> London: Palgrave Macmillan.</w:t>
      </w:r>
    </w:p>
    <w:p w14:paraId="3000E53E" w14:textId="77777777" w:rsidR="00A31CC3" w:rsidRPr="00814262" w:rsidRDefault="00A31CC3" w:rsidP="00A31CC3">
      <w:pPr>
        <w:autoSpaceDE w:val="0"/>
        <w:autoSpaceDN w:val="0"/>
        <w:adjustRightInd w:val="0"/>
        <w:spacing w:after="0"/>
        <w:ind w:left="773" w:hangingChars="322" w:hanging="773"/>
        <w:contextualSpacing/>
        <w:mirrorIndents/>
        <w:jc w:val="both"/>
        <w:rPr>
          <w:rFonts w:ascii="Times New Roman" w:eastAsiaTheme="minorHAnsi" w:hAnsi="Times New Roman" w:cs="Times New Roman"/>
          <w:sz w:val="24"/>
          <w:szCs w:val="24"/>
          <w:lang w:eastAsia="en-US"/>
        </w:rPr>
      </w:pPr>
      <w:r w:rsidRPr="00814262">
        <w:rPr>
          <w:rFonts w:ascii="Times New Roman" w:eastAsiaTheme="minorHAnsi" w:hAnsi="Times New Roman" w:cs="Times New Roman"/>
          <w:sz w:val="24"/>
          <w:szCs w:val="24"/>
          <w:lang w:eastAsia="en-US"/>
        </w:rPr>
        <w:t xml:space="preserve">Carta, Caterina (2015), “The Swinging ‘We’: Framing the European Union International Discourse, </w:t>
      </w:r>
      <w:r w:rsidRPr="00814262">
        <w:rPr>
          <w:rFonts w:ascii="Times New Roman" w:eastAsiaTheme="minorHAnsi" w:hAnsi="Times New Roman" w:cs="Times New Roman"/>
          <w:i/>
          <w:sz w:val="24"/>
          <w:szCs w:val="24"/>
          <w:lang w:eastAsia="en-US"/>
        </w:rPr>
        <w:t>Journal of Language and Politics</w:t>
      </w:r>
      <w:r w:rsidRPr="00814262">
        <w:rPr>
          <w:rFonts w:ascii="Times New Roman" w:eastAsiaTheme="minorHAnsi" w:hAnsi="Times New Roman" w:cs="Times New Roman"/>
          <w:sz w:val="24"/>
          <w:szCs w:val="24"/>
          <w:lang w:eastAsia="en-US"/>
        </w:rPr>
        <w:t>, 14:1, 65–86.</w:t>
      </w:r>
    </w:p>
    <w:p w14:paraId="2D673B5D"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bdr w:val="none" w:sz="0" w:space="0" w:color="auto" w:frame="1"/>
        </w:rPr>
        <w:t xml:space="preserve">Carta, Caterina and Ruth </w:t>
      </w:r>
      <w:proofErr w:type="spellStart"/>
      <w:r w:rsidRPr="00814262">
        <w:rPr>
          <w:rFonts w:ascii="Times New Roman" w:eastAsia="Times New Roman" w:hAnsi="Times New Roman" w:cs="Times New Roman"/>
          <w:sz w:val="24"/>
          <w:szCs w:val="24"/>
          <w:bdr w:val="none" w:sz="0" w:space="0" w:color="auto" w:frame="1"/>
        </w:rPr>
        <w:t>Wodak</w:t>
      </w:r>
      <w:proofErr w:type="spellEnd"/>
      <w:r w:rsidRPr="00814262">
        <w:rPr>
          <w:rFonts w:ascii="Times New Roman" w:eastAsia="Times New Roman" w:hAnsi="Times New Roman" w:cs="Times New Roman"/>
          <w:sz w:val="24"/>
          <w:szCs w:val="24"/>
          <w:bdr w:val="none" w:sz="0" w:space="0" w:color="auto" w:frame="1"/>
        </w:rPr>
        <w:t xml:space="preserve"> (2015), “Discourse Analysis, Policy Analysis, and the Borders of EU Identity”, </w:t>
      </w:r>
      <w:r w:rsidRPr="00814262">
        <w:rPr>
          <w:rFonts w:ascii="Times New Roman" w:eastAsia="Times New Roman" w:hAnsi="Times New Roman" w:cs="Times New Roman"/>
          <w:i/>
          <w:iCs/>
          <w:sz w:val="24"/>
          <w:szCs w:val="24"/>
          <w:bdr w:val="none" w:sz="0" w:space="0" w:color="auto" w:frame="1"/>
        </w:rPr>
        <w:t>Journal of Language and Politics</w:t>
      </w:r>
      <w:r w:rsidRPr="00814262">
        <w:rPr>
          <w:rFonts w:ascii="Times New Roman" w:eastAsia="Times New Roman" w:hAnsi="Times New Roman" w:cs="Times New Roman"/>
          <w:iCs/>
          <w:sz w:val="24"/>
          <w:szCs w:val="24"/>
          <w:bdr w:val="none" w:sz="0" w:space="0" w:color="auto" w:frame="1"/>
        </w:rPr>
        <w:t>,</w:t>
      </w:r>
      <w:r w:rsidRPr="00814262">
        <w:rPr>
          <w:rFonts w:ascii="Times New Roman" w:eastAsia="Times New Roman" w:hAnsi="Times New Roman" w:cs="Times New Roman"/>
          <w:sz w:val="24"/>
          <w:szCs w:val="24"/>
          <w:bdr w:val="none" w:sz="0" w:space="0" w:color="auto" w:frame="1"/>
        </w:rPr>
        <w:t> 14:1, 1-17. </w:t>
      </w:r>
    </w:p>
    <w:p w14:paraId="6C5D2F55"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814262">
        <w:rPr>
          <w:rFonts w:ascii="Times New Roman" w:eastAsia="Times New Roman" w:hAnsi="Times New Roman" w:cs="Times New Roman"/>
          <w:sz w:val="24"/>
          <w:szCs w:val="24"/>
          <w:bdr w:val="none" w:sz="0" w:space="0" w:color="auto" w:frame="1"/>
        </w:rPr>
        <w:t xml:space="preserve">Coutts, Cristopher, </w:t>
      </w:r>
      <w:proofErr w:type="spellStart"/>
      <w:r w:rsidRPr="00814262">
        <w:rPr>
          <w:rFonts w:ascii="Times New Roman" w:eastAsia="Times New Roman" w:hAnsi="Times New Roman" w:cs="Times New Roman"/>
          <w:sz w:val="24"/>
          <w:szCs w:val="24"/>
          <w:bdr w:val="none" w:sz="0" w:space="0" w:color="auto" w:frame="1"/>
        </w:rPr>
        <w:t>Forkink</w:t>
      </w:r>
      <w:proofErr w:type="spellEnd"/>
      <w:r w:rsidRPr="00814262">
        <w:rPr>
          <w:rFonts w:ascii="Times New Roman" w:eastAsia="Times New Roman" w:hAnsi="Times New Roman" w:cs="Times New Roman"/>
          <w:sz w:val="24"/>
          <w:szCs w:val="24"/>
          <w:bdr w:val="none" w:sz="0" w:space="0" w:color="auto" w:frame="1"/>
        </w:rPr>
        <w:t xml:space="preserve">, Annette, and Jocelyn Weiner (2014), “The Portrayal of Natural Environment in the Evolution of the Ecological Public Health Paradigm”, </w:t>
      </w:r>
      <w:r w:rsidRPr="00814262">
        <w:rPr>
          <w:rFonts w:ascii="Times New Roman" w:eastAsia="Times New Roman" w:hAnsi="Times New Roman" w:cs="Times New Roman"/>
          <w:i/>
          <w:sz w:val="24"/>
          <w:szCs w:val="24"/>
          <w:bdr w:val="none" w:sz="0" w:space="0" w:color="auto" w:frame="1"/>
        </w:rPr>
        <w:t>International Journal of Environmental Research and Public Health</w:t>
      </w:r>
      <w:r w:rsidRPr="00814262">
        <w:rPr>
          <w:rFonts w:ascii="Times New Roman" w:eastAsia="Times New Roman" w:hAnsi="Times New Roman" w:cs="Times New Roman"/>
          <w:sz w:val="24"/>
          <w:szCs w:val="24"/>
          <w:bdr w:val="none" w:sz="0" w:space="0" w:color="auto" w:frame="1"/>
        </w:rPr>
        <w:t>, 11:1, 1005-1019. </w:t>
      </w:r>
    </w:p>
    <w:p w14:paraId="4DEDB3D5"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814262">
        <w:rPr>
          <w:rFonts w:ascii="Times New Roman" w:eastAsia="Times New Roman" w:hAnsi="Times New Roman" w:cs="Times New Roman"/>
          <w:sz w:val="24"/>
          <w:szCs w:val="24"/>
          <w:bdr w:val="none" w:sz="0" w:space="0" w:color="auto" w:frame="1"/>
        </w:rPr>
        <w:t>Depoux</w:t>
      </w:r>
      <w:proofErr w:type="spellEnd"/>
      <w:r w:rsidRPr="00814262">
        <w:rPr>
          <w:rFonts w:ascii="Times New Roman" w:eastAsia="Times New Roman" w:hAnsi="Times New Roman" w:cs="Times New Roman"/>
          <w:sz w:val="24"/>
          <w:szCs w:val="24"/>
          <w:bdr w:val="none" w:sz="0" w:space="0" w:color="auto" w:frame="1"/>
        </w:rPr>
        <w:t xml:space="preserve">, Anneliese, </w:t>
      </w:r>
      <w:proofErr w:type="spellStart"/>
      <w:r w:rsidRPr="00814262">
        <w:rPr>
          <w:rFonts w:ascii="Times New Roman" w:eastAsia="Times New Roman" w:hAnsi="Times New Roman" w:cs="Times New Roman"/>
          <w:sz w:val="24"/>
          <w:szCs w:val="24"/>
          <w:bdr w:val="none" w:sz="0" w:space="0" w:color="auto" w:frame="1"/>
        </w:rPr>
        <w:t>Hémono</w:t>
      </w:r>
      <w:proofErr w:type="spellEnd"/>
      <w:r w:rsidRPr="00814262">
        <w:rPr>
          <w:rFonts w:ascii="Times New Roman" w:eastAsia="Times New Roman" w:hAnsi="Times New Roman" w:cs="Times New Roman"/>
          <w:sz w:val="24"/>
          <w:szCs w:val="24"/>
          <w:bdr w:val="none" w:sz="0" w:space="0" w:color="auto" w:frame="1"/>
        </w:rPr>
        <w:t>, Mathieu, Puig-</w:t>
      </w:r>
      <w:proofErr w:type="spellStart"/>
      <w:r w:rsidRPr="00814262">
        <w:rPr>
          <w:rFonts w:ascii="Times New Roman" w:eastAsia="Times New Roman" w:hAnsi="Times New Roman" w:cs="Times New Roman"/>
          <w:sz w:val="24"/>
          <w:szCs w:val="24"/>
          <w:bdr w:val="none" w:sz="0" w:space="0" w:color="auto" w:frame="1"/>
        </w:rPr>
        <w:t>Malet</w:t>
      </w:r>
      <w:proofErr w:type="spellEnd"/>
      <w:r w:rsidRPr="00814262">
        <w:rPr>
          <w:rFonts w:ascii="Times New Roman" w:eastAsia="Times New Roman" w:hAnsi="Times New Roman" w:cs="Times New Roman"/>
          <w:sz w:val="24"/>
          <w:szCs w:val="24"/>
          <w:bdr w:val="none" w:sz="0" w:space="0" w:color="auto" w:frame="1"/>
        </w:rPr>
        <w:t xml:space="preserve">, Sophie, </w:t>
      </w:r>
      <w:proofErr w:type="spellStart"/>
      <w:r w:rsidRPr="00814262">
        <w:rPr>
          <w:rFonts w:ascii="Times New Roman" w:eastAsia="Times New Roman" w:hAnsi="Times New Roman" w:cs="Times New Roman"/>
          <w:sz w:val="24"/>
          <w:szCs w:val="24"/>
          <w:bdr w:val="none" w:sz="0" w:space="0" w:color="auto" w:frame="1"/>
        </w:rPr>
        <w:t>Pédron</w:t>
      </w:r>
      <w:proofErr w:type="spellEnd"/>
      <w:r w:rsidRPr="00814262">
        <w:rPr>
          <w:rFonts w:ascii="Times New Roman" w:eastAsia="Times New Roman" w:hAnsi="Times New Roman" w:cs="Times New Roman"/>
          <w:sz w:val="24"/>
          <w:szCs w:val="24"/>
          <w:bdr w:val="none" w:sz="0" w:space="0" w:color="auto" w:frame="1"/>
        </w:rPr>
        <w:t xml:space="preserve"> Romain and </w:t>
      </w:r>
      <w:proofErr w:type="spellStart"/>
      <w:r w:rsidRPr="00814262">
        <w:rPr>
          <w:rFonts w:ascii="Times New Roman" w:eastAsia="Times New Roman" w:hAnsi="Times New Roman" w:cs="Times New Roman"/>
          <w:sz w:val="24"/>
          <w:szCs w:val="24"/>
          <w:bdr w:val="none" w:sz="0" w:space="0" w:color="auto" w:frame="1"/>
        </w:rPr>
        <w:t>Flahault</w:t>
      </w:r>
      <w:proofErr w:type="spellEnd"/>
      <w:r w:rsidRPr="00814262">
        <w:rPr>
          <w:rFonts w:ascii="Times New Roman" w:eastAsia="Times New Roman" w:hAnsi="Times New Roman" w:cs="Times New Roman"/>
          <w:sz w:val="24"/>
          <w:szCs w:val="24"/>
          <w:bdr w:val="none" w:sz="0" w:space="0" w:color="auto" w:frame="1"/>
        </w:rPr>
        <w:t xml:space="preserve"> (2017), </w:t>
      </w:r>
      <w:r w:rsidRPr="00814262">
        <w:rPr>
          <w:rFonts w:ascii="Times New Roman" w:eastAsia="Times New Roman" w:hAnsi="Times New Roman" w:cs="Times New Roman"/>
          <w:i/>
          <w:sz w:val="24"/>
          <w:szCs w:val="24"/>
          <w:bdr w:val="none" w:sz="0" w:space="0" w:color="auto" w:frame="1"/>
        </w:rPr>
        <w:t>Communicating Climate Change and Health in the Media</w:t>
      </w:r>
      <w:r w:rsidRPr="00814262">
        <w:rPr>
          <w:rFonts w:ascii="Times New Roman" w:eastAsia="Times New Roman" w:hAnsi="Times New Roman" w:cs="Times New Roman"/>
          <w:sz w:val="24"/>
          <w:szCs w:val="24"/>
          <w:bdr w:val="none" w:sz="0" w:space="0" w:color="auto" w:frame="1"/>
        </w:rPr>
        <w:t>, Public Health Reviews, 38:7</w:t>
      </w:r>
      <w:r w:rsidRPr="00FA2912">
        <w:rPr>
          <w:rFonts w:ascii="Times New Roman" w:eastAsia="Times New Roman" w:hAnsi="Times New Roman" w:cs="Times New Roman"/>
          <w:sz w:val="24"/>
          <w:szCs w:val="24"/>
          <w:bdr w:val="none" w:sz="0" w:space="0" w:color="auto" w:frame="1"/>
        </w:rPr>
        <w:t>,</w:t>
      </w:r>
      <w:r w:rsidRPr="00814262">
        <w:rPr>
          <w:rFonts w:ascii="Times New Roman" w:eastAsia="Times New Roman" w:hAnsi="Times New Roman" w:cs="Times New Roman"/>
          <w:sz w:val="24"/>
          <w:szCs w:val="24"/>
          <w:bdr w:val="none" w:sz="0" w:space="0" w:color="auto" w:frame="1"/>
        </w:rPr>
        <w:t xml:space="preserve"> </w:t>
      </w:r>
    </w:p>
    <w:p w14:paraId="3318D835" w14:textId="77777777" w:rsidR="00A31CC3" w:rsidRPr="00814262" w:rsidRDefault="00A31CC3" w:rsidP="00A31CC3">
      <w:pPr>
        <w:ind w:left="773" w:hangingChars="322" w:hanging="773"/>
        <w:contextualSpacing/>
        <w:mirrorIndents/>
        <w:jc w:val="both"/>
        <w:rPr>
          <w:rFonts w:ascii="Times New Roman" w:eastAsia="Palatino" w:hAnsi="Times New Roman" w:cs="Times New Roman"/>
          <w:sz w:val="24"/>
          <w:szCs w:val="24"/>
          <w:lang w:val="en-US" w:eastAsia="en-US"/>
        </w:rPr>
      </w:pPr>
      <w:r w:rsidRPr="00814262">
        <w:rPr>
          <w:rFonts w:ascii="Times New Roman" w:eastAsiaTheme="minorHAnsi" w:hAnsi="Times New Roman" w:cs="Times New Roman"/>
          <w:sz w:val="24"/>
          <w:szCs w:val="24"/>
          <w:lang w:val="en-US" w:eastAsia="en-US"/>
        </w:rPr>
        <w:lastRenderedPageBreak/>
        <w:t xml:space="preserve">Devitt, Amy (2004), </w:t>
      </w:r>
      <w:r w:rsidRPr="00814262">
        <w:rPr>
          <w:rFonts w:ascii="Times New Roman" w:eastAsiaTheme="minorHAnsi" w:hAnsi="Times New Roman" w:cs="Times New Roman"/>
          <w:i/>
          <w:iCs/>
          <w:sz w:val="24"/>
          <w:szCs w:val="24"/>
          <w:lang w:val="en-US" w:eastAsia="en-US"/>
        </w:rPr>
        <w:t>Writing Genres</w:t>
      </w:r>
      <w:r w:rsidRPr="00814262">
        <w:rPr>
          <w:rFonts w:ascii="Times New Roman" w:eastAsiaTheme="minorHAnsi" w:hAnsi="Times New Roman" w:cs="Times New Roman"/>
          <w:sz w:val="24"/>
          <w:szCs w:val="24"/>
          <w:lang w:val="en-US" w:eastAsia="en-US"/>
        </w:rPr>
        <w:t xml:space="preserve">, Carbondale, Southern Illinois University Press. </w:t>
      </w:r>
    </w:p>
    <w:p w14:paraId="5B2B3D52" w14:textId="77777777" w:rsidR="00A31CC3" w:rsidRPr="00FA2912" w:rsidRDefault="00A31CC3" w:rsidP="00A31CC3">
      <w:pPr>
        <w:ind w:left="773" w:hangingChars="322" w:hanging="773"/>
        <w:contextualSpacing/>
        <w:mirrorIndents/>
        <w:jc w:val="both"/>
        <w:rPr>
          <w:rFonts w:ascii="Times New Roman" w:eastAsia="Palatino" w:hAnsi="Times New Roman" w:cs="Times New Roman"/>
          <w:sz w:val="24"/>
          <w:szCs w:val="24"/>
          <w:lang w:val="en-US" w:eastAsia="en-US"/>
        </w:rPr>
      </w:pPr>
      <w:r w:rsidRPr="00814262">
        <w:rPr>
          <w:rFonts w:ascii="Times New Roman" w:eastAsiaTheme="minorHAnsi" w:hAnsi="Times New Roman" w:cs="Times New Roman"/>
          <w:sz w:val="24"/>
          <w:szCs w:val="24"/>
          <w:lang w:val="en-US" w:eastAsia="en-US"/>
        </w:rPr>
        <w:t>Fairclough</w:t>
      </w:r>
      <w:r w:rsidRPr="00A207CD">
        <w:rPr>
          <w:rFonts w:ascii="Times New Roman" w:eastAsiaTheme="minorHAnsi" w:hAnsi="Times New Roman" w:cs="Times New Roman"/>
          <w:sz w:val="24"/>
          <w:szCs w:val="24"/>
          <w:lang w:val="en-US" w:eastAsia="en-US"/>
        </w:rPr>
        <w:fldChar w:fldCharType="begin"/>
      </w:r>
      <w:r w:rsidRPr="00A207CD">
        <w:rPr>
          <w:rFonts w:ascii="Times New Roman" w:eastAsiaTheme="minorHAnsi" w:hAnsi="Times New Roman" w:cs="Times New Roman"/>
          <w:sz w:val="24"/>
          <w:szCs w:val="24"/>
          <w:lang w:eastAsia="en-US"/>
        </w:rPr>
        <w:instrText xml:space="preserve"> XE "</w:instrText>
      </w:r>
      <w:r w:rsidRPr="00A207CD">
        <w:rPr>
          <w:rFonts w:ascii="Times New Roman" w:eastAsiaTheme="minorHAnsi" w:hAnsi="Times New Roman" w:cs="Times New Roman"/>
          <w:bCs/>
          <w:iCs/>
          <w:sz w:val="24"/>
          <w:szCs w:val="24"/>
          <w:lang w:val="en-US" w:eastAsia="en-US"/>
        </w:rPr>
        <w:instrText>Fairclough, Norman</w:instrText>
      </w:r>
      <w:r w:rsidRPr="00A207CD">
        <w:rPr>
          <w:rFonts w:ascii="Times New Roman" w:eastAsiaTheme="minorHAnsi" w:hAnsi="Times New Roman" w:cs="Times New Roman"/>
          <w:sz w:val="24"/>
          <w:szCs w:val="24"/>
          <w:lang w:eastAsia="en-US"/>
        </w:rPr>
        <w:instrText xml:space="preserve">" </w:instrText>
      </w:r>
      <w:r w:rsidRPr="00A207CD">
        <w:rPr>
          <w:rFonts w:ascii="Times New Roman" w:eastAsiaTheme="minorHAnsi" w:hAnsi="Times New Roman" w:cs="Times New Roman"/>
          <w:sz w:val="24"/>
          <w:szCs w:val="24"/>
          <w:lang w:val="en-US" w:eastAsia="en-US"/>
        </w:rPr>
        <w:fldChar w:fldCharType="end"/>
      </w:r>
      <w:r w:rsidRPr="00A207CD">
        <w:rPr>
          <w:rFonts w:ascii="Times New Roman" w:eastAsiaTheme="minorHAnsi" w:hAnsi="Times New Roman" w:cs="Times New Roman"/>
          <w:sz w:val="24"/>
          <w:szCs w:val="24"/>
          <w:lang w:val="en-US" w:eastAsia="en-US"/>
        </w:rPr>
        <w:t xml:space="preserve">, Norman (2003), </w:t>
      </w:r>
      <w:proofErr w:type="spellStart"/>
      <w:r w:rsidRPr="00A207CD">
        <w:rPr>
          <w:rFonts w:ascii="Times New Roman" w:eastAsiaTheme="minorHAnsi" w:hAnsi="Times New Roman" w:cs="Times New Roman"/>
          <w:i/>
          <w:iCs/>
          <w:sz w:val="24"/>
          <w:szCs w:val="24"/>
          <w:lang w:val="en-US" w:eastAsia="en-US"/>
        </w:rPr>
        <w:t>Analysing</w:t>
      </w:r>
      <w:proofErr w:type="spellEnd"/>
      <w:r w:rsidRPr="00A207CD">
        <w:rPr>
          <w:rFonts w:ascii="Times New Roman" w:eastAsiaTheme="minorHAnsi" w:hAnsi="Times New Roman" w:cs="Times New Roman"/>
          <w:i/>
          <w:iCs/>
          <w:sz w:val="24"/>
          <w:szCs w:val="24"/>
          <w:lang w:val="en-US" w:eastAsia="en-US"/>
        </w:rPr>
        <w:t xml:space="preserve"> Discourse: Textual Analysis for Social Research</w:t>
      </w:r>
      <w:r w:rsidRPr="00A207CD">
        <w:rPr>
          <w:rFonts w:ascii="Times New Roman" w:eastAsiaTheme="minorHAnsi" w:hAnsi="Times New Roman" w:cs="Times New Roman"/>
          <w:i/>
          <w:iCs/>
          <w:sz w:val="24"/>
          <w:szCs w:val="24"/>
          <w:lang w:eastAsia="en-US"/>
        </w:rPr>
        <w:t xml:space="preserve">, </w:t>
      </w:r>
      <w:r w:rsidRPr="00FA2912">
        <w:rPr>
          <w:rFonts w:ascii="Times New Roman" w:eastAsiaTheme="minorHAnsi" w:hAnsi="Times New Roman" w:cs="Times New Roman"/>
          <w:sz w:val="24"/>
          <w:szCs w:val="24"/>
          <w:lang w:val="en-US" w:eastAsia="en-US"/>
        </w:rPr>
        <w:t>London and New York: Routledge.</w:t>
      </w:r>
    </w:p>
    <w:p w14:paraId="24DC6B5A" w14:textId="77777777" w:rsidR="00A31CC3" w:rsidRPr="00ED597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FA2912">
        <w:rPr>
          <w:rFonts w:ascii="Times New Roman" w:eastAsia="Times New Roman" w:hAnsi="Times New Roman" w:cs="Times New Roman"/>
          <w:sz w:val="24"/>
          <w:szCs w:val="24"/>
          <w:bdr w:val="none" w:sz="0" w:space="0" w:color="auto" w:frame="1"/>
        </w:rPr>
        <w:t xml:space="preserve">Fairclough, Isabel and Norman Fairclough (2012), </w:t>
      </w:r>
      <w:r w:rsidRPr="00FA2912">
        <w:rPr>
          <w:rFonts w:ascii="Times New Roman" w:eastAsia="Times New Roman" w:hAnsi="Times New Roman" w:cs="Times New Roman"/>
          <w:i/>
          <w:sz w:val="24"/>
          <w:szCs w:val="24"/>
          <w:bdr w:val="none" w:sz="0" w:space="0" w:color="auto" w:frame="1"/>
        </w:rPr>
        <w:t>Political Discourse Analysis: A Method for Advanced Students</w:t>
      </w:r>
      <w:r w:rsidRPr="00ED5972">
        <w:rPr>
          <w:rFonts w:ascii="Times New Roman" w:eastAsia="Times New Roman" w:hAnsi="Times New Roman" w:cs="Times New Roman"/>
          <w:sz w:val="24"/>
          <w:szCs w:val="24"/>
          <w:bdr w:val="none" w:sz="0" w:space="0" w:color="auto" w:frame="1"/>
        </w:rPr>
        <w:t>, London and New York, Routledge.</w:t>
      </w:r>
    </w:p>
    <w:p w14:paraId="370F1923"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AA5148">
        <w:rPr>
          <w:rFonts w:ascii="Times New Roman" w:eastAsia="Times New Roman" w:hAnsi="Times New Roman" w:cs="Times New Roman"/>
          <w:sz w:val="24"/>
          <w:szCs w:val="24"/>
          <w:bdr w:val="none" w:sz="0" w:space="0" w:color="auto" w:frame="1"/>
        </w:rPr>
        <w:t>Feindt</w:t>
      </w:r>
      <w:proofErr w:type="spellEnd"/>
      <w:r w:rsidRPr="00AA5148">
        <w:rPr>
          <w:rFonts w:ascii="Times New Roman" w:eastAsia="Times New Roman" w:hAnsi="Times New Roman" w:cs="Times New Roman"/>
          <w:sz w:val="24"/>
          <w:szCs w:val="24"/>
          <w:bdr w:val="none" w:sz="0" w:space="0" w:color="auto" w:frame="1"/>
        </w:rPr>
        <w:t xml:space="preserve"> Peter H., and</w:t>
      </w:r>
      <w:r w:rsidRPr="00814262">
        <w:rPr>
          <w:rFonts w:ascii="Times New Roman" w:eastAsia="Times New Roman" w:hAnsi="Times New Roman" w:cs="Times New Roman"/>
          <w:sz w:val="24"/>
          <w:szCs w:val="24"/>
          <w:bdr w:val="none" w:sz="0" w:space="0" w:color="auto" w:frame="1"/>
        </w:rPr>
        <w:t xml:space="preserve"> Angela </w:t>
      </w:r>
      <w:proofErr w:type="spellStart"/>
      <w:r w:rsidRPr="00814262">
        <w:rPr>
          <w:rFonts w:ascii="Times New Roman" w:eastAsia="Times New Roman" w:hAnsi="Times New Roman" w:cs="Times New Roman"/>
          <w:sz w:val="24"/>
          <w:szCs w:val="24"/>
          <w:bdr w:val="none" w:sz="0" w:space="0" w:color="auto" w:frame="1"/>
        </w:rPr>
        <w:t>Oels</w:t>
      </w:r>
      <w:proofErr w:type="spellEnd"/>
      <w:r w:rsidRPr="00814262">
        <w:rPr>
          <w:rFonts w:ascii="Times New Roman" w:eastAsia="Times New Roman" w:hAnsi="Times New Roman" w:cs="Times New Roman"/>
          <w:sz w:val="24"/>
          <w:szCs w:val="24"/>
          <w:bdr w:val="none" w:sz="0" w:space="0" w:color="auto" w:frame="1"/>
        </w:rPr>
        <w:t xml:space="preserve"> (2005) “Does Discourse Matter? Discourse analysis in Environmental Policy Making”, </w:t>
      </w:r>
      <w:r w:rsidRPr="00814262">
        <w:rPr>
          <w:rFonts w:ascii="Times New Roman" w:eastAsia="Times New Roman" w:hAnsi="Times New Roman" w:cs="Times New Roman"/>
          <w:i/>
          <w:sz w:val="24"/>
          <w:szCs w:val="24"/>
          <w:bdr w:val="none" w:sz="0" w:space="0" w:color="auto" w:frame="1"/>
        </w:rPr>
        <w:t>Journal of Environmental Policy &amp; Planning</w:t>
      </w:r>
      <w:r w:rsidRPr="00814262">
        <w:rPr>
          <w:rFonts w:ascii="Times New Roman" w:eastAsia="Times New Roman" w:hAnsi="Times New Roman" w:cs="Times New Roman"/>
          <w:sz w:val="24"/>
          <w:szCs w:val="24"/>
          <w:bdr w:val="none" w:sz="0" w:space="0" w:color="auto" w:frame="1"/>
        </w:rPr>
        <w:t>, 7:3, 161-173.</w:t>
      </w:r>
    </w:p>
    <w:p w14:paraId="59442B74" w14:textId="77777777" w:rsidR="00A31CC3" w:rsidRPr="00814262" w:rsidRDefault="00A31CC3" w:rsidP="00A31CC3">
      <w:pPr>
        <w:shd w:val="clear" w:color="auto" w:fill="FFFFFF"/>
        <w:spacing w:before="100" w:beforeAutospacing="1" w:after="0" w:afterAutospacing="1"/>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814262">
        <w:rPr>
          <w:rFonts w:ascii="Times New Roman" w:eastAsia="Times New Roman" w:hAnsi="Times New Roman" w:cs="Times New Roman"/>
          <w:sz w:val="24"/>
          <w:szCs w:val="24"/>
          <w:bdr w:val="none" w:sz="0" w:space="0" w:color="auto" w:frame="1"/>
        </w:rPr>
        <w:t>Fischhoff</w:t>
      </w:r>
      <w:proofErr w:type="spellEnd"/>
      <w:r w:rsidRPr="00814262">
        <w:rPr>
          <w:rFonts w:ascii="Times New Roman" w:eastAsia="Times New Roman" w:hAnsi="Times New Roman" w:cs="Times New Roman"/>
          <w:sz w:val="24"/>
          <w:szCs w:val="24"/>
          <w:bdr w:val="none" w:sz="0" w:space="0" w:color="auto" w:frame="1"/>
        </w:rPr>
        <w:t xml:space="preserve">, Baruch and John </w:t>
      </w:r>
      <w:proofErr w:type="spellStart"/>
      <w:r w:rsidRPr="00814262">
        <w:rPr>
          <w:rFonts w:ascii="Times New Roman" w:eastAsia="Times New Roman" w:hAnsi="Times New Roman" w:cs="Times New Roman"/>
          <w:sz w:val="24"/>
          <w:szCs w:val="24"/>
          <w:bdr w:val="none" w:sz="0" w:space="0" w:color="auto" w:frame="1"/>
        </w:rPr>
        <w:t>Kadvani</w:t>
      </w:r>
      <w:proofErr w:type="spellEnd"/>
      <w:r w:rsidRPr="00814262">
        <w:rPr>
          <w:rFonts w:ascii="Times New Roman" w:eastAsia="Times New Roman" w:hAnsi="Times New Roman" w:cs="Times New Roman"/>
          <w:sz w:val="24"/>
          <w:szCs w:val="24"/>
          <w:bdr w:val="none" w:sz="0" w:space="0" w:color="auto" w:frame="1"/>
        </w:rPr>
        <w:t xml:space="preserve">. 2011, </w:t>
      </w:r>
      <w:r w:rsidRPr="00814262">
        <w:rPr>
          <w:rFonts w:ascii="Times New Roman" w:eastAsia="Times New Roman" w:hAnsi="Times New Roman" w:cs="Times New Roman"/>
          <w:i/>
          <w:sz w:val="24"/>
          <w:szCs w:val="24"/>
          <w:bdr w:val="none" w:sz="0" w:space="0" w:color="auto" w:frame="1"/>
        </w:rPr>
        <w:t>Risk</w:t>
      </w:r>
      <w:r w:rsidRPr="00814262">
        <w:rPr>
          <w:rFonts w:ascii="Times New Roman" w:eastAsia="Times New Roman" w:hAnsi="Times New Roman" w:cs="Times New Roman"/>
          <w:sz w:val="24"/>
          <w:szCs w:val="24"/>
          <w:bdr w:val="none" w:sz="0" w:space="0" w:color="auto" w:frame="1"/>
        </w:rPr>
        <w:t xml:space="preserve">, Oxford, Oxford University Press. </w:t>
      </w:r>
    </w:p>
    <w:p w14:paraId="2743F5E1" w14:textId="77777777" w:rsidR="00A31CC3" w:rsidRPr="00814262" w:rsidRDefault="00A31CC3" w:rsidP="00A31CC3">
      <w:pPr>
        <w:shd w:val="clear" w:color="auto" w:fill="FFFFFF"/>
        <w:spacing w:before="100" w:beforeAutospacing="1" w:after="0" w:afterAutospacing="1"/>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814262">
        <w:rPr>
          <w:rFonts w:ascii="Times New Roman" w:eastAsia="Times New Roman" w:hAnsi="Times New Roman" w:cs="Times New Roman"/>
          <w:sz w:val="24"/>
          <w:szCs w:val="24"/>
          <w:bdr w:val="none" w:sz="0" w:space="0" w:color="auto" w:frame="1"/>
        </w:rPr>
        <w:t xml:space="preserve">Fox, Mary, </w:t>
      </w:r>
      <w:proofErr w:type="spellStart"/>
      <w:r w:rsidRPr="00814262">
        <w:rPr>
          <w:rFonts w:ascii="Times New Roman" w:eastAsia="Times New Roman" w:hAnsi="Times New Roman" w:cs="Times New Roman"/>
          <w:sz w:val="24"/>
          <w:szCs w:val="24"/>
          <w:bdr w:val="none" w:sz="0" w:space="0" w:color="auto" w:frame="1"/>
        </w:rPr>
        <w:t>Zuidema</w:t>
      </w:r>
      <w:proofErr w:type="spellEnd"/>
      <w:r w:rsidRPr="00814262">
        <w:rPr>
          <w:rFonts w:ascii="Times New Roman" w:eastAsia="Times New Roman" w:hAnsi="Times New Roman" w:cs="Times New Roman"/>
          <w:sz w:val="24"/>
          <w:szCs w:val="24"/>
          <w:bdr w:val="none" w:sz="0" w:space="0" w:color="auto" w:frame="1"/>
        </w:rPr>
        <w:t>, Christopher, Bauman, Bridget, Burke, Thomas and Mary Sheehan (2019), “Integrating Public Health into Climate Change Policy and Planning: State of Practice Update</w:t>
      </w:r>
      <w:r w:rsidRPr="00814262">
        <w:rPr>
          <w:rFonts w:ascii="Times New Roman" w:eastAsia="Times New Roman" w:hAnsi="Times New Roman" w:cs="Times New Roman"/>
          <w:i/>
          <w:sz w:val="24"/>
          <w:szCs w:val="24"/>
          <w:bdr w:val="none" w:sz="0" w:space="0" w:color="auto" w:frame="1"/>
        </w:rPr>
        <w:t>”, International Journal of Environmental Research and Public Health</w:t>
      </w:r>
      <w:r w:rsidRPr="00814262">
        <w:rPr>
          <w:rFonts w:ascii="Times New Roman" w:eastAsia="Times New Roman" w:hAnsi="Times New Roman" w:cs="Times New Roman"/>
          <w:sz w:val="24"/>
          <w:szCs w:val="24"/>
          <w:bdr w:val="none" w:sz="0" w:space="0" w:color="auto" w:frame="1"/>
        </w:rPr>
        <w:t xml:space="preserve">, 16, 3232, 1-22. </w:t>
      </w:r>
    </w:p>
    <w:p w14:paraId="753C926D" w14:textId="77777777" w:rsidR="00A31CC3" w:rsidRPr="00814262" w:rsidRDefault="00A31CC3" w:rsidP="00A31CC3">
      <w:pPr>
        <w:shd w:val="clear" w:color="auto" w:fill="FFFFFF"/>
        <w:spacing w:after="0"/>
        <w:ind w:left="708" w:hanging="708"/>
        <w:contextualSpacing/>
        <w:mirrorIndents/>
        <w:jc w:val="both"/>
        <w:rPr>
          <w:rFonts w:ascii="Times New Roman" w:eastAsia="Times New Roman" w:hAnsi="Times New Roman" w:cs="Times New Roman"/>
          <w:sz w:val="24"/>
          <w:szCs w:val="24"/>
        </w:rPr>
      </w:pPr>
      <w:proofErr w:type="spellStart"/>
      <w:r w:rsidRPr="00814262">
        <w:rPr>
          <w:rFonts w:ascii="Times New Roman" w:eastAsia="Times New Roman" w:hAnsi="Times New Roman" w:cs="Times New Roman"/>
          <w:sz w:val="24"/>
          <w:szCs w:val="24"/>
          <w:bdr w:val="none" w:sz="0" w:space="0" w:color="auto" w:frame="1"/>
        </w:rPr>
        <w:t>Frumkin</w:t>
      </w:r>
      <w:proofErr w:type="spellEnd"/>
      <w:r w:rsidRPr="00814262">
        <w:rPr>
          <w:rFonts w:ascii="Times New Roman" w:eastAsia="Times New Roman" w:hAnsi="Times New Roman" w:cs="Times New Roman"/>
          <w:sz w:val="24"/>
          <w:szCs w:val="24"/>
          <w:bdr w:val="none" w:sz="0" w:space="0" w:color="auto" w:frame="1"/>
        </w:rPr>
        <w:t xml:space="preserve">, Howard (2001), “Beyond Toxicity: Human Health and the Natural Environment”, </w:t>
      </w:r>
      <w:r w:rsidRPr="00814262">
        <w:rPr>
          <w:rFonts w:ascii="Times New Roman" w:eastAsia="Times New Roman" w:hAnsi="Times New Roman" w:cs="Times New Roman"/>
          <w:i/>
          <w:sz w:val="24"/>
          <w:szCs w:val="24"/>
          <w:bdr w:val="none" w:sz="0" w:space="0" w:color="auto" w:frame="1"/>
        </w:rPr>
        <w:t>American Journal of Preventive Medicine</w:t>
      </w:r>
      <w:r w:rsidRPr="00814262">
        <w:rPr>
          <w:rFonts w:ascii="Times New Roman" w:eastAsia="Times New Roman" w:hAnsi="Times New Roman" w:cs="Times New Roman"/>
          <w:sz w:val="24"/>
          <w:szCs w:val="24"/>
          <w:bdr w:val="none" w:sz="0" w:space="0" w:color="auto" w:frame="1"/>
        </w:rPr>
        <w:t>, 20:3, 234. </w:t>
      </w:r>
    </w:p>
    <w:p w14:paraId="2FCA49B3" w14:textId="77777777" w:rsidR="00A31CC3" w:rsidRPr="00814262" w:rsidRDefault="00A31CC3" w:rsidP="00A31CC3">
      <w:pPr>
        <w:shd w:val="clear" w:color="auto" w:fill="FFFFFF"/>
        <w:spacing w:after="0"/>
        <w:ind w:left="708" w:hanging="708"/>
        <w:contextualSpacing/>
        <w:mirrorIndents/>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bdr w:val="none" w:sz="0" w:space="0" w:color="auto" w:frame="1"/>
        </w:rPr>
        <w:t xml:space="preserve">Gray, Tonia, and Carol </w:t>
      </w:r>
      <w:proofErr w:type="spellStart"/>
      <w:r w:rsidRPr="00814262">
        <w:rPr>
          <w:rFonts w:ascii="Times New Roman" w:eastAsia="Times New Roman" w:hAnsi="Times New Roman" w:cs="Times New Roman"/>
          <w:sz w:val="24"/>
          <w:szCs w:val="24"/>
          <w:bdr w:val="none" w:sz="0" w:space="0" w:color="auto" w:frame="1"/>
        </w:rPr>
        <w:t>Birrell</w:t>
      </w:r>
      <w:proofErr w:type="spellEnd"/>
      <w:r w:rsidRPr="00814262">
        <w:rPr>
          <w:rFonts w:ascii="Times New Roman" w:eastAsia="Times New Roman" w:hAnsi="Times New Roman" w:cs="Times New Roman"/>
          <w:sz w:val="24"/>
          <w:szCs w:val="24"/>
          <w:bdr w:val="none" w:sz="0" w:space="0" w:color="auto" w:frame="1"/>
        </w:rPr>
        <w:t xml:space="preserve"> (2015), “Touched by the Earth: a Place-based Outdoor Learning</w:t>
      </w:r>
      <w:r w:rsidRPr="00814262">
        <w:rPr>
          <w:rFonts w:ascii="Times New Roman" w:eastAsia="Times New Roman" w:hAnsi="Times New Roman" w:cs="Times New Roman"/>
          <w:sz w:val="24"/>
          <w:szCs w:val="24"/>
        </w:rPr>
        <w:t xml:space="preserve"> </w:t>
      </w:r>
      <w:r w:rsidRPr="00814262">
        <w:rPr>
          <w:rFonts w:ascii="Times New Roman" w:eastAsia="Times New Roman" w:hAnsi="Times New Roman" w:cs="Times New Roman"/>
          <w:sz w:val="24"/>
          <w:szCs w:val="24"/>
          <w:bdr w:val="none" w:sz="0" w:space="0" w:color="auto" w:frame="1"/>
        </w:rPr>
        <w:t xml:space="preserve">Programme Incorporating the Arts”, </w:t>
      </w:r>
      <w:r w:rsidRPr="00814262">
        <w:rPr>
          <w:rFonts w:ascii="Times New Roman" w:eastAsia="Times New Roman" w:hAnsi="Times New Roman" w:cs="Times New Roman"/>
          <w:i/>
          <w:sz w:val="24"/>
          <w:szCs w:val="24"/>
          <w:bdr w:val="none" w:sz="0" w:space="0" w:color="auto" w:frame="1"/>
        </w:rPr>
        <w:t>Journal of Adventure Education and Outdoor</w:t>
      </w:r>
      <w:r w:rsidRPr="00814262">
        <w:rPr>
          <w:rFonts w:ascii="Times New Roman" w:eastAsia="Times New Roman" w:hAnsi="Times New Roman" w:cs="Times New Roman"/>
          <w:i/>
          <w:sz w:val="24"/>
          <w:szCs w:val="24"/>
        </w:rPr>
        <w:t xml:space="preserve"> </w:t>
      </w:r>
      <w:r w:rsidRPr="00814262">
        <w:rPr>
          <w:rFonts w:ascii="Times New Roman" w:eastAsia="Times New Roman" w:hAnsi="Times New Roman" w:cs="Times New Roman"/>
          <w:i/>
          <w:sz w:val="24"/>
          <w:szCs w:val="24"/>
          <w:bdr w:val="none" w:sz="0" w:space="0" w:color="auto" w:frame="1"/>
        </w:rPr>
        <w:t>Learning</w:t>
      </w:r>
      <w:r w:rsidRPr="00814262">
        <w:rPr>
          <w:rFonts w:ascii="Times New Roman" w:eastAsia="Times New Roman" w:hAnsi="Times New Roman" w:cs="Times New Roman"/>
          <w:sz w:val="24"/>
          <w:szCs w:val="24"/>
          <w:bdr w:val="none" w:sz="0" w:space="0" w:color="auto" w:frame="1"/>
        </w:rPr>
        <w:t xml:space="preserve">, 330-349. </w:t>
      </w:r>
    </w:p>
    <w:p w14:paraId="7E7A134B"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bdr w:val="none" w:sz="0" w:space="0" w:color="auto" w:frame="1"/>
        </w:rPr>
        <w:t xml:space="preserve">Gregory, Robin (1991) Critical Thinking for Environmental Health Risk Education. </w:t>
      </w:r>
      <w:r w:rsidRPr="00814262">
        <w:rPr>
          <w:rFonts w:ascii="Times New Roman" w:eastAsia="Times New Roman" w:hAnsi="Times New Roman" w:cs="Times New Roman"/>
          <w:i/>
          <w:sz w:val="24"/>
          <w:szCs w:val="24"/>
          <w:bdr w:val="none" w:sz="0" w:space="0" w:color="auto" w:frame="1"/>
        </w:rPr>
        <w:t>Health Education Quarterl</w:t>
      </w:r>
      <w:r w:rsidRPr="00814262">
        <w:rPr>
          <w:rFonts w:ascii="Times New Roman" w:eastAsia="Times New Roman" w:hAnsi="Times New Roman" w:cs="Times New Roman"/>
          <w:sz w:val="24"/>
          <w:szCs w:val="24"/>
          <w:bdr w:val="none" w:sz="0" w:space="0" w:color="auto" w:frame="1"/>
        </w:rPr>
        <w:t>y, 18:3, 273-284. </w:t>
      </w:r>
    </w:p>
    <w:p w14:paraId="2C431816" w14:textId="77777777" w:rsidR="00A31CC3" w:rsidRPr="00A207CD"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814262">
        <w:rPr>
          <w:rFonts w:ascii="Times New Roman" w:eastAsia="Times New Roman" w:hAnsi="Times New Roman" w:cs="Times New Roman"/>
          <w:sz w:val="24"/>
          <w:szCs w:val="24"/>
          <w:bdr w:val="none" w:sz="0" w:space="0" w:color="auto" w:frame="1"/>
        </w:rPr>
        <w:t xml:space="preserve">Gruenewald, David A. (2004). “A Foucauldian Analysis of Environmental Education: Toward the Socioecological Challenge of the Earth Charter”, </w:t>
      </w:r>
      <w:hyperlink r:id="rId7" w:history="1">
        <w:r w:rsidRPr="00A207CD">
          <w:rPr>
            <w:rFonts w:ascii="Times New Roman" w:eastAsia="Times New Roman" w:hAnsi="Times New Roman" w:cs="Times New Roman"/>
            <w:i/>
            <w:sz w:val="24"/>
            <w:szCs w:val="24"/>
            <w:bdr w:val="none" w:sz="0" w:space="0" w:color="auto" w:frame="1"/>
          </w:rPr>
          <w:t>Curriculum Inquiry, </w:t>
        </w:r>
      </w:hyperlink>
      <w:r w:rsidRPr="00A207CD">
        <w:rPr>
          <w:rFonts w:ascii="Times New Roman" w:eastAsia="Times New Roman" w:hAnsi="Times New Roman" w:cs="Times New Roman"/>
          <w:sz w:val="24"/>
          <w:szCs w:val="24"/>
          <w:bdr w:val="none" w:sz="0" w:space="0" w:color="auto" w:frame="1"/>
        </w:rPr>
        <w:t xml:space="preserve"> 34:1, 71-107.</w:t>
      </w:r>
    </w:p>
    <w:p w14:paraId="24FFD6F1"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rPr>
      </w:pPr>
      <w:r w:rsidRPr="00FA2912">
        <w:rPr>
          <w:rFonts w:ascii="Times New Roman" w:eastAsia="Times New Roman" w:hAnsi="Times New Roman" w:cs="Times New Roman"/>
          <w:sz w:val="24"/>
          <w:szCs w:val="24"/>
          <w:bdr w:val="none" w:sz="0" w:space="0" w:color="auto" w:frame="1"/>
        </w:rPr>
        <w:t xml:space="preserve">Jordan Andrew, and Viviane </w:t>
      </w:r>
      <w:proofErr w:type="spellStart"/>
      <w:r w:rsidRPr="00FA2912">
        <w:rPr>
          <w:rFonts w:ascii="Times New Roman" w:eastAsia="Times New Roman" w:hAnsi="Times New Roman" w:cs="Times New Roman"/>
          <w:sz w:val="24"/>
          <w:szCs w:val="24"/>
          <w:bdr w:val="none" w:sz="0" w:space="0" w:color="auto" w:frame="1"/>
        </w:rPr>
        <w:t>Gravey</w:t>
      </w:r>
      <w:proofErr w:type="spellEnd"/>
      <w:r w:rsidRPr="00FA2912">
        <w:rPr>
          <w:rFonts w:ascii="Times New Roman" w:eastAsia="Times New Roman" w:hAnsi="Times New Roman" w:cs="Times New Roman"/>
          <w:sz w:val="24"/>
          <w:szCs w:val="24"/>
          <w:bdr w:val="none" w:sz="0" w:space="0" w:color="auto" w:frame="1"/>
        </w:rPr>
        <w:t xml:space="preserve"> (2021). </w:t>
      </w:r>
      <w:r w:rsidRPr="00FA2912">
        <w:rPr>
          <w:rFonts w:ascii="Times New Roman" w:eastAsia="Times New Roman" w:hAnsi="Times New Roman" w:cs="Times New Roman"/>
          <w:i/>
          <w:sz w:val="24"/>
          <w:szCs w:val="24"/>
          <w:bdr w:val="none" w:sz="0" w:space="0" w:color="auto" w:frame="1"/>
        </w:rPr>
        <w:t>Environmental Policy in the EU. Actors</w:t>
      </w:r>
      <w:r w:rsidRPr="00814262">
        <w:rPr>
          <w:rFonts w:ascii="Times New Roman" w:eastAsia="Times New Roman" w:hAnsi="Times New Roman" w:cs="Times New Roman"/>
          <w:i/>
          <w:sz w:val="24"/>
          <w:szCs w:val="24"/>
          <w:bdr w:val="none" w:sz="0" w:space="0" w:color="auto" w:frame="1"/>
        </w:rPr>
        <w:t xml:space="preserve"> Institutions and Processes</w:t>
      </w:r>
      <w:r w:rsidRPr="00814262">
        <w:rPr>
          <w:rFonts w:ascii="Times New Roman" w:eastAsia="Times New Roman" w:hAnsi="Times New Roman" w:cs="Times New Roman"/>
          <w:sz w:val="24"/>
          <w:szCs w:val="24"/>
          <w:bdr w:val="none" w:sz="0" w:space="0" w:color="auto" w:frame="1"/>
        </w:rPr>
        <w:t xml:space="preserve"> (4</w:t>
      </w:r>
      <w:r w:rsidRPr="00814262">
        <w:rPr>
          <w:rFonts w:ascii="Times New Roman" w:eastAsia="Times New Roman" w:hAnsi="Times New Roman" w:cs="Times New Roman"/>
          <w:sz w:val="24"/>
          <w:szCs w:val="24"/>
          <w:bdr w:val="none" w:sz="0" w:space="0" w:color="auto" w:frame="1"/>
          <w:vertAlign w:val="superscript"/>
        </w:rPr>
        <w:t>TH</w:t>
      </w:r>
      <w:r w:rsidRPr="00814262">
        <w:rPr>
          <w:rFonts w:ascii="Times New Roman" w:eastAsia="Times New Roman" w:hAnsi="Times New Roman" w:cs="Times New Roman"/>
          <w:sz w:val="24"/>
          <w:szCs w:val="24"/>
          <w:bdr w:val="none" w:sz="0" w:space="0" w:color="auto" w:frame="1"/>
        </w:rPr>
        <w:t> ED.) London: Routledge </w:t>
      </w:r>
    </w:p>
    <w:p w14:paraId="05E591F4" w14:textId="77777777" w:rsidR="00A31CC3" w:rsidRPr="00FA2912" w:rsidRDefault="00A31CC3" w:rsidP="00A31CC3">
      <w:pPr>
        <w:ind w:left="773" w:hangingChars="322" w:hanging="773"/>
        <w:contextualSpacing/>
        <w:mirrorIndents/>
        <w:jc w:val="both"/>
        <w:rPr>
          <w:rFonts w:ascii="Times New Roman" w:eastAsiaTheme="minorHAnsi" w:hAnsi="Times New Roman" w:cs="Times New Roman"/>
          <w:sz w:val="24"/>
          <w:szCs w:val="24"/>
          <w:lang w:eastAsia="en-US"/>
        </w:rPr>
      </w:pPr>
      <w:r w:rsidRPr="00814262">
        <w:rPr>
          <w:rFonts w:ascii="Times New Roman" w:eastAsiaTheme="minorHAnsi" w:hAnsi="Times New Roman" w:cs="Times New Roman"/>
          <w:sz w:val="24"/>
          <w:szCs w:val="24"/>
          <w:lang w:val="en-US" w:eastAsia="en-US"/>
        </w:rPr>
        <w:t>Halliday</w:t>
      </w:r>
      <w:r w:rsidRPr="00A207CD">
        <w:rPr>
          <w:rFonts w:ascii="Times New Roman" w:eastAsiaTheme="minorHAnsi" w:hAnsi="Times New Roman" w:cs="Times New Roman"/>
          <w:sz w:val="24"/>
          <w:szCs w:val="24"/>
          <w:lang w:val="en-US" w:eastAsia="en-US"/>
        </w:rPr>
        <w:fldChar w:fldCharType="begin"/>
      </w:r>
      <w:r w:rsidRPr="00A207CD">
        <w:rPr>
          <w:rFonts w:ascii="Times New Roman" w:eastAsiaTheme="minorHAnsi" w:hAnsi="Times New Roman" w:cs="Times New Roman"/>
          <w:sz w:val="24"/>
          <w:szCs w:val="24"/>
          <w:lang w:eastAsia="en-US"/>
        </w:rPr>
        <w:instrText xml:space="preserve"> XE "</w:instrText>
      </w:r>
      <w:r w:rsidRPr="00A207CD">
        <w:rPr>
          <w:rFonts w:ascii="Times New Roman" w:eastAsiaTheme="minorHAnsi" w:hAnsi="Times New Roman" w:cs="Times New Roman"/>
          <w:sz w:val="24"/>
          <w:szCs w:val="24"/>
          <w:lang w:val="en-US" w:eastAsia="en-US"/>
        </w:rPr>
        <w:instrText>Halliday, M. A. K.</w:instrText>
      </w:r>
      <w:r w:rsidRPr="00A207CD">
        <w:rPr>
          <w:rFonts w:ascii="Times New Roman" w:eastAsiaTheme="minorHAnsi" w:hAnsi="Times New Roman" w:cs="Times New Roman"/>
          <w:sz w:val="24"/>
          <w:szCs w:val="24"/>
          <w:lang w:eastAsia="en-US"/>
        </w:rPr>
        <w:instrText xml:space="preserve">" </w:instrText>
      </w:r>
      <w:r w:rsidRPr="00A207CD">
        <w:rPr>
          <w:rFonts w:ascii="Times New Roman" w:eastAsiaTheme="minorHAnsi" w:hAnsi="Times New Roman" w:cs="Times New Roman"/>
          <w:sz w:val="24"/>
          <w:szCs w:val="24"/>
          <w:lang w:val="en-US" w:eastAsia="en-US"/>
        </w:rPr>
        <w:fldChar w:fldCharType="end"/>
      </w:r>
      <w:r w:rsidRPr="00A207CD">
        <w:rPr>
          <w:rFonts w:ascii="Times New Roman" w:eastAsiaTheme="minorHAnsi" w:hAnsi="Times New Roman" w:cs="Times New Roman"/>
          <w:sz w:val="24"/>
          <w:szCs w:val="24"/>
          <w:lang w:val="en-US" w:eastAsia="en-US"/>
        </w:rPr>
        <w:t xml:space="preserve">, Michael A.K. (1989), “Language and Knowledge: The “Unpacking” of Text”. In Jonathan Webster (Ed.) </w:t>
      </w:r>
      <w:r w:rsidRPr="00FA2912">
        <w:rPr>
          <w:rFonts w:ascii="Times New Roman" w:eastAsiaTheme="minorHAnsi" w:hAnsi="Times New Roman" w:cs="Times New Roman"/>
          <w:i/>
          <w:iCs/>
          <w:sz w:val="24"/>
          <w:szCs w:val="24"/>
          <w:lang w:val="en-US" w:eastAsia="en-US"/>
        </w:rPr>
        <w:t>The Language of Science</w:t>
      </w:r>
      <w:r w:rsidRPr="00FA2912">
        <w:rPr>
          <w:rFonts w:ascii="Times New Roman" w:eastAsiaTheme="minorHAnsi" w:hAnsi="Times New Roman" w:cs="Times New Roman"/>
          <w:sz w:val="24"/>
          <w:szCs w:val="24"/>
          <w:lang w:val="en-US" w:eastAsia="en-US"/>
        </w:rPr>
        <w:t>. London and New York, Continuum, 24–84.</w:t>
      </w:r>
    </w:p>
    <w:p w14:paraId="531CEC2C" w14:textId="77777777" w:rsidR="00A31CC3" w:rsidRPr="00AA5148"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i/>
          <w:sz w:val="24"/>
          <w:szCs w:val="24"/>
          <w:bdr w:val="none" w:sz="0" w:space="0" w:color="auto" w:frame="1"/>
        </w:rPr>
      </w:pPr>
      <w:r w:rsidRPr="00ED5972">
        <w:rPr>
          <w:rFonts w:ascii="Times New Roman" w:eastAsia="Times New Roman" w:hAnsi="Times New Roman" w:cs="Times New Roman"/>
          <w:sz w:val="24"/>
          <w:szCs w:val="24"/>
          <w:bdr w:val="none" w:sz="0" w:space="0" w:color="auto" w:frame="1"/>
        </w:rPr>
        <w:t xml:space="preserve">Halliday, Michael A.K., and Christina M.I.M. Matthiessen (2004), </w:t>
      </w:r>
      <w:r w:rsidRPr="00ED5972">
        <w:rPr>
          <w:rFonts w:ascii="Times New Roman" w:eastAsia="Times New Roman" w:hAnsi="Times New Roman" w:cs="Times New Roman"/>
          <w:i/>
          <w:sz w:val="24"/>
          <w:szCs w:val="24"/>
        </w:rPr>
        <w:t>An Introduction to Functional Grammar</w:t>
      </w:r>
      <w:r w:rsidRPr="00AA5148">
        <w:rPr>
          <w:rFonts w:ascii="Times New Roman" w:eastAsia="Times New Roman" w:hAnsi="Times New Roman" w:cs="Times New Roman"/>
          <w:sz w:val="24"/>
          <w:szCs w:val="24"/>
        </w:rPr>
        <w:t>, Madison Avenue, New York, Oxford University Press.</w:t>
      </w:r>
    </w:p>
    <w:p w14:paraId="179D261C"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rPr>
      </w:pPr>
      <w:proofErr w:type="spellStart"/>
      <w:r w:rsidRPr="00AC15D8">
        <w:rPr>
          <w:rFonts w:ascii="Times New Roman" w:eastAsia="Times New Roman" w:hAnsi="Times New Roman" w:cs="Times New Roman"/>
          <w:sz w:val="24"/>
          <w:szCs w:val="24"/>
          <w:bdr w:val="none" w:sz="0" w:space="0" w:color="auto" w:frame="1"/>
        </w:rPr>
        <w:t>Hilgenkamp</w:t>
      </w:r>
      <w:proofErr w:type="spellEnd"/>
      <w:r w:rsidRPr="00AC15D8">
        <w:rPr>
          <w:rFonts w:ascii="Times New Roman" w:eastAsia="Times New Roman" w:hAnsi="Times New Roman" w:cs="Times New Roman"/>
          <w:sz w:val="24"/>
          <w:szCs w:val="24"/>
          <w:bdr w:val="none" w:sz="0" w:space="0" w:color="auto" w:frame="1"/>
        </w:rPr>
        <w:t xml:space="preserve">, Kathryn (2006). </w:t>
      </w:r>
      <w:r w:rsidRPr="00A44750">
        <w:rPr>
          <w:rFonts w:ascii="Times New Roman" w:eastAsia="Times New Roman" w:hAnsi="Times New Roman" w:cs="Times New Roman"/>
          <w:i/>
          <w:sz w:val="24"/>
          <w:szCs w:val="24"/>
          <w:bdr w:val="none" w:sz="0" w:space="0" w:color="auto" w:frame="1"/>
        </w:rPr>
        <w:t>Environmental Health: Ecological Perspectives</w:t>
      </w:r>
      <w:r w:rsidRPr="00814262">
        <w:rPr>
          <w:rFonts w:ascii="Times New Roman" w:eastAsia="Times New Roman" w:hAnsi="Times New Roman" w:cs="Times New Roman"/>
          <w:sz w:val="24"/>
          <w:szCs w:val="24"/>
          <w:bdr w:val="none" w:sz="0" w:space="0" w:color="auto" w:frame="1"/>
        </w:rPr>
        <w:t>. Sudbury, Mass: Jones and Bartlett Publishers. </w:t>
      </w:r>
    </w:p>
    <w:p w14:paraId="02CBB6A6"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814262">
        <w:rPr>
          <w:rFonts w:ascii="Times New Roman" w:eastAsia="Times New Roman" w:hAnsi="Times New Roman" w:cs="Times New Roman"/>
          <w:sz w:val="24"/>
          <w:szCs w:val="24"/>
          <w:bdr w:val="none" w:sz="0" w:space="0" w:color="auto" w:frame="1"/>
        </w:rPr>
        <w:t xml:space="preserve">Habermas, Jürgen (1993), “On the Pragmatic, the Ethical and the Moral Employments of Practical Reason”, in Jürgen Habermas (ed.), </w:t>
      </w:r>
      <w:r w:rsidRPr="00814262">
        <w:rPr>
          <w:rFonts w:ascii="Times New Roman" w:eastAsia="Times New Roman" w:hAnsi="Times New Roman" w:cs="Times New Roman"/>
          <w:i/>
          <w:iCs/>
          <w:sz w:val="24"/>
          <w:szCs w:val="24"/>
          <w:bdr w:val="none" w:sz="0" w:space="0" w:color="auto" w:frame="1"/>
        </w:rPr>
        <w:t>Justification and Application Remarks on Discourse Ethics</w:t>
      </w:r>
      <w:r w:rsidRPr="00814262">
        <w:rPr>
          <w:rFonts w:ascii="Times New Roman" w:eastAsia="Times New Roman" w:hAnsi="Times New Roman" w:cs="Times New Roman"/>
          <w:sz w:val="24"/>
          <w:szCs w:val="24"/>
          <w:bdr w:val="none" w:sz="0" w:space="0" w:color="auto" w:frame="1"/>
        </w:rPr>
        <w:t>, Cambridge, MA, MIT Press. </w:t>
      </w:r>
    </w:p>
    <w:p w14:paraId="5C2AB3CD" w14:textId="77777777" w:rsidR="00A31CC3" w:rsidRPr="00AA5148" w:rsidRDefault="00A31CC3" w:rsidP="00A31CC3">
      <w:pPr>
        <w:autoSpaceDE w:val="0"/>
        <w:autoSpaceDN w:val="0"/>
        <w:adjustRightInd w:val="0"/>
        <w:spacing w:after="0"/>
        <w:ind w:left="773" w:hangingChars="322" w:hanging="773"/>
        <w:contextualSpacing/>
        <w:mirrorIndents/>
        <w:jc w:val="both"/>
        <w:rPr>
          <w:rFonts w:ascii="Times New Roman" w:eastAsiaTheme="minorHAnsi" w:hAnsi="Times New Roman" w:cs="Times New Roman"/>
          <w:sz w:val="24"/>
          <w:szCs w:val="24"/>
          <w:lang w:eastAsia="en-US"/>
        </w:rPr>
      </w:pPr>
      <w:r w:rsidRPr="00814262">
        <w:rPr>
          <w:rFonts w:ascii="Times New Roman" w:eastAsiaTheme="minorHAnsi" w:hAnsi="Times New Roman" w:cs="Times New Roman"/>
          <w:sz w:val="24"/>
          <w:szCs w:val="24"/>
          <w:lang w:eastAsia="en-US"/>
        </w:rPr>
        <w:t xml:space="preserve">Hasan, </w:t>
      </w:r>
      <w:proofErr w:type="spellStart"/>
      <w:r w:rsidRPr="00814262">
        <w:rPr>
          <w:rFonts w:ascii="Times New Roman" w:eastAsiaTheme="minorHAnsi" w:hAnsi="Times New Roman" w:cs="Times New Roman"/>
          <w:sz w:val="24"/>
          <w:szCs w:val="24"/>
          <w:lang w:eastAsia="en-US"/>
        </w:rPr>
        <w:t>Ruqaiya</w:t>
      </w:r>
      <w:proofErr w:type="spellEnd"/>
      <w:r w:rsidRPr="00814262">
        <w:rPr>
          <w:rFonts w:ascii="Times New Roman" w:eastAsiaTheme="minorHAnsi" w:hAnsi="Times New Roman" w:cs="Times New Roman"/>
          <w:sz w:val="24"/>
          <w:szCs w:val="24"/>
          <w:lang w:eastAsia="en-US"/>
        </w:rPr>
        <w:t xml:space="preserve"> (2016), “In the nature of language: Reflections on perm</w:t>
      </w:r>
      <w:r>
        <w:rPr>
          <w:rFonts w:ascii="Times New Roman" w:eastAsiaTheme="minorHAnsi" w:hAnsi="Times New Roman" w:cs="Times New Roman"/>
          <w:sz w:val="24"/>
          <w:szCs w:val="24"/>
          <w:lang w:eastAsia="en-US"/>
        </w:rPr>
        <w:t>e</w:t>
      </w:r>
      <w:r w:rsidRPr="00ED5972">
        <w:rPr>
          <w:rFonts w:ascii="Times New Roman" w:eastAsiaTheme="minorHAnsi" w:hAnsi="Times New Roman" w:cs="Times New Roman"/>
          <w:sz w:val="24"/>
          <w:szCs w:val="24"/>
          <w:lang w:eastAsia="en-US"/>
        </w:rPr>
        <w:t xml:space="preserve">ability and hybridity”, in Donna R. Miller and Paul Bayley (Eds), </w:t>
      </w:r>
      <w:r w:rsidRPr="00ED5972">
        <w:rPr>
          <w:rFonts w:ascii="Times New Roman" w:eastAsiaTheme="minorHAnsi" w:hAnsi="Times New Roman" w:cs="Times New Roman"/>
          <w:i/>
          <w:iCs/>
          <w:sz w:val="24"/>
          <w:szCs w:val="24"/>
          <w:lang w:eastAsia="en-US"/>
        </w:rPr>
        <w:t>Hybridity in Systemic Functional Linguistics.</w:t>
      </w:r>
      <w:r w:rsidRPr="00020287">
        <w:rPr>
          <w:rFonts w:ascii="Times New Roman" w:eastAsiaTheme="minorHAnsi" w:hAnsi="Times New Roman" w:cs="Times New Roman"/>
          <w:i/>
          <w:iCs/>
          <w:sz w:val="24"/>
          <w:szCs w:val="24"/>
          <w:lang w:eastAsia="en-US"/>
        </w:rPr>
        <w:t xml:space="preserve"> Grammar, Text and Context</w:t>
      </w:r>
      <w:r w:rsidRPr="00AA5148">
        <w:rPr>
          <w:rFonts w:ascii="Times New Roman" w:eastAsiaTheme="minorHAnsi" w:hAnsi="Times New Roman" w:cs="Times New Roman"/>
          <w:sz w:val="24"/>
          <w:szCs w:val="24"/>
          <w:lang w:eastAsia="en-US"/>
        </w:rPr>
        <w:t>, London: Equinox, 337-376.</w:t>
      </w:r>
    </w:p>
    <w:p w14:paraId="6D40B3D6" w14:textId="77777777" w:rsidR="00A31CC3" w:rsidRPr="00020287" w:rsidRDefault="00A31CC3" w:rsidP="00A31CC3">
      <w:pPr>
        <w:autoSpaceDE w:val="0"/>
        <w:autoSpaceDN w:val="0"/>
        <w:adjustRightInd w:val="0"/>
        <w:spacing w:after="0"/>
        <w:ind w:left="773" w:hangingChars="322" w:hanging="773"/>
        <w:contextualSpacing/>
        <w:mirrorIndents/>
        <w:jc w:val="both"/>
        <w:rPr>
          <w:rFonts w:ascii="Times New Roman" w:eastAsiaTheme="minorHAnsi" w:hAnsi="Times New Roman" w:cs="Times New Roman"/>
          <w:bCs/>
          <w:sz w:val="24"/>
          <w:szCs w:val="24"/>
          <w:lang w:eastAsia="en-US"/>
        </w:rPr>
      </w:pPr>
      <w:proofErr w:type="spellStart"/>
      <w:r w:rsidRPr="00AC15D8">
        <w:rPr>
          <w:rFonts w:ascii="Times New Roman" w:eastAsiaTheme="minorHAnsi" w:hAnsi="Times New Roman" w:cs="Times New Roman"/>
          <w:bCs/>
          <w:sz w:val="24"/>
          <w:szCs w:val="24"/>
          <w:lang w:eastAsia="en-US"/>
        </w:rPr>
        <w:t>Hultman</w:t>
      </w:r>
      <w:proofErr w:type="spellEnd"/>
      <w:r w:rsidRPr="00AC15D8">
        <w:rPr>
          <w:rFonts w:ascii="Times New Roman" w:eastAsiaTheme="minorHAnsi" w:hAnsi="Times New Roman" w:cs="Times New Roman"/>
          <w:bCs/>
          <w:sz w:val="24"/>
          <w:szCs w:val="24"/>
          <w:lang w:eastAsia="en-US"/>
        </w:rPr>
        <w:t xml:space="preserve">, </w:t>
      </w:r>
      <w:r w:rsidRPr="00814262">
        <w:rPr>
          <w:rFonts w:ascii="Times New Roman" w:eastAsiaTheme="minorHAnsi" w:hAnsi="Times New Roman" w:cs="Times New Roman"/>
          <w:bCs/>
          <w:sz w:val="24"/>
          <w:szCs w:val="24"/>
          <w:lang w:eastAsia="en-US"/>
        </w:rPr>
        <w:t>Karin,</w:t>
      </w:r>
      <w:r w:rsidRPr="00A207CD">
        <w:rPr>
          <w:rFonts w:ascii="Times New Roman" w:eastAsiaTheme="minorHAnsi" w:hAnsi="Times New Roman" w:cs="Times New Roman"/>
          <w:bCs/>
          <w:sz w:val="24"/>
          <w:szCs w:val="24"/>
          <w:lang w:eastAsia="en-US"/>
        </w:rPr>
        <w:t xml:space="preserve"> and </w:t>
      </w:r>
      <w:proofErr w:type="spellStart"/>
      <w:r w:rsidRPr="00A207CD">
        <w:rPr>
          <w:rFonts w:ascii="Times New Roman" w:eastAsiaTheme="minorHAnsi" w:hAnsi="Times New Roman" w:cs="Times New Roman"/>
          <w:bCs/>
          <w:sz w:val="24"/>
          <w:szCs w:val="24"/>
          <w:lang w:eastAsia="en-US"/>
        </w:rPr>
        <w:t>Hillevi</w:t>
      </w:r>
      <w:proofErr w:type="spellEnd"/>
      <w:r w:rsidRPr="00A207CD">
        <w:rPr>
          <w:rFonts w:ascii="Times New Roman" w:eastAsiaTheme="minorHAnsi" w:hAnsi="Times New Roman" w:cs="Times New Roman"/>
          <w:bCs/>
          <w:sz w:val="24"/>
          <w:szCs w:val="24"/>
          <w:lang w:eastAsia="en-US"/>
        </w:rPr>
        <w:t xml:space="preserve"> Lenz Taguchi (2010), “Challenging Anthropocentric Analysis of Visual Data: a Relational Materialist Methodological Approach to Educational Research”. </w:t>
      </w:r>
      <w:r w:rsidRPr="00971E1E">
        <w:rPr>
          <w:rFonts w:ascii="Times New Roman" w:eastAsiaTheme="minorHAnsi" w:hAnsi="Times New Roman" w:cs="Times New Roman"/>
          <w:bCs/>
          <w:i/>
          <w:iCs/>
          <w:sz w:val="24"/>
          <w:szCs w:val="24"/>
          <w:lang w:eastAsia="en-US"/>
        </w:rPr>
        <w:t>International</w:t>
      </w:r>
      <w:r w:rsidRPr="00ED5972">
        <w:rPr>
          <w:rFonts w:ascii="Times New Roman" w:eastAsiaTheme="minorHAnsi" w:hAnsi="Times New Roman" w:cs="Times New Roman"/>
          <w:bCs/>
          <w:sz w:val="24"/>
          <w:szCs w:val="24"/>
          <w:lang w:eastAsia="en-US"/>
        </w:rPr>
        <w:t xml:space="preserve"> </w:t>
      </w:r>
      <w:r w:rsidRPr="00ED5972">
        <w:rPr>
          <w:rFonts w:ascii="Times New Roman" w:eastAsiaTheme="minorHAnsi" w:hAnsi="Times New Roman" w:cs="Times New Roman"/>
          <w:bCs/>
          <w:i/>
          <w:iCs/>
          <w:sz w:val="24"/>
          <w:szCs w:val="24"/>
          <w:lang w:eastAsia="en-US"/>
        </w:rPr>
        <w:t xml:space="preserve">Journal of Qualitative Studies in Education, </w:t>
      </w:r>
      <w:r w:rsidRPr="00BE1DA1">
        <w:rPr>
          <w:rFonts w:ascii="Times New Roman" w:eastAsiaTheme="minorHAnsi" w:hAnsi="Times New Roman" w:cs="Times New Roman"/>
          <w:bCs/>
          <w:iCs/>
          <w:sz w:val="24"/>
          <w:szCs w:val="24"/>
          <w:lang w:eastAsia="en-US"/>
        </w:rPr>
        <w:t>23</w:t>
      </w:r>
      <w:r w:rsidRPr="00020287">
        <w:rPr>
          <w:rFonts w:ascii="Times New Roman" w:eastAsiaTheme="minorHAnsi" w:hAnsi="Times New Roman" w:cs="Times New Roman"/>
          <w:bCs/>
          <w:sz w:val="24"/>
          <w:szCs w:val="24"/>
          <w:lang w:eastAsia="en-US"/>
        </w:rPr>
        <w:t>(5), 525-542.</w:t>
      </w:r>
    </w:p>
    <w:p w14:paraId="66400CF4" w14:textId="77777777" w:rsidR="00A31CC3" w:rsidRPr="00814262" w:rsidRDefault="00A31CC3" w:rsidP="00A31CC3">
      <w:pPr>
        <w:contextualSpacing/>
        <w:mirrorIndents/>
        <w:jc w:val="both"/>
        <w:rPr>
          <w:rFonts w:ascii="Times New Roman" w:eastAsiaTheme="minorHAnsi" w:hAnsi="Times New Roman" w:cs="Times New Roman"/>
          <w:sz w:val="24"/>
          <w:szCs w:val="24"/>
          <w:lang w:val="en-US" w:eastAsia="en-US"/>
        </w:rPr>
      </w:pPr>
      <w:proofErr w:type="spellStart"/>
      <w:r w:rsidRPr="00AA5148">
        <w:rPr>
          <w:rFonts w:ascii="Times New Roman" w:eastAsiaTheme="minorHAnsi" w:hAnsi="Times New Roman" w:cs="Times New Roman"/>
          <w:sz w:val="24"/>
          <w:szCs w:val="24"/>
          <w:lang w:val="en-US" w:eastAsia="en-US"/>
        </w:rPr>
        <w:t>Humbley</w:t>
      </w:r>
      <w:proofErr w:type="spellEnd"/>
      <w:r w:rsidRPr="00AA5148">
        <w:rPr>
          <w:rFonts w:ascii="Times New Roman" w:eastAsiaTheme="minorHAnsi" w:hAnsi="Times New Roman" w:cs="Times New Roman"/>
          <w:sz w:val="24"/>
          <w:szCs w:val="24"/>
          <w:lang w:val="en-US" w:eastAsia="en-US"/>
        </w:rPr>
        <w:t xml:space="preserve">, John (2009), “Accounting for Term Formation” </w:t>
      </w:r>
      <w:r w:rsidRPr="00AC15D8">
        <w:rPr>
          <w:rFonts w:ascii="Times New Roman" w:eastAsiaTheme="minorHAnsi" w:hAnsi="Times New Roman" w:cs="Times New Roman"/>
          <w:i/>
          <w:iCs/>
          <w:sz w:val="24"/>
          <w:szCs w:val="24"/>
          <w:lang w:val="en-US" w:eastAsia="en-US"/>
        </w:rPr>
        <w:t xml:space="preserve">Terminology, Science and Research </w:t>
      </w:r>
      <w:r w:rsidRPr="00A44750">
        <w:rPr>
          <w:rFonts w:ascii="Times New Roman" w:eastAsiaTheme="minorHAnsi" w:hAnsi="Times New Roman" w:cs="Times New Roman"/>
          <w:sz w:val="24"/>
          <w:szCs w:val="24"/>
          <w:lang w:val="en-US" w:eastAsia="en-US"/>
        </w:rPr>
        <w:t>20.</w:t>
      </w:r>
    </w:p>
    <w:p w14:paraId="423DE25A" w14:textId="77777777" w:rsidR="00A31CC3" w:rsidRPr="00814262" w:rsidRDefault="00A31CC3" w:rsidP="00A31CC3">
      <w:pPr>
        <w:ind w:left="720"/>
        <w:contextualSpacing/>
        <w:mirrorIndents/>
        <w:jc w:val="both"/>
        <w:rPr>
          <w:rFonts w:ascii="Times New Roman" w:eastAsia="Palatino" w:hAnsi="Times New Roman" w:cs="Times New Roman"/>
          <w:sz w:val="24"/>
          <w:szCs w:val="24"/>
          <w:lang w:val="en-US" w:eastAsia="en-US"/>
        </w:rPr>
      </w:pPr>
      <w:r w:rsidRPr="00814262">
        <w:rPr>
          <w:rFonts w:ascii="Times New Roman" w:eastAsiaTheme="minorHAnsi" w:hAnsi="Times New Roman" w:cs="Times New Roman"/>
          <w:sz w:val="24"/>
          <w:szCs w:val="24"/>
          <w:lang w:val="en-US" w:eastAsia="en-US"/>
        </w:rPr>
        <w:t>Available online at http://lipas.uwasa.fi/hut/svenska/iitf/tsr2005/vol20/ (Last accessed: September 27, 2021).</w:t>
      </w:r>
    </w:p>
    <w:p w14:paraId="5B217E3F" w14:textId="77777777" w:rsidR="00A31CC3" w:rsidRPr="00814262" w:rsidRDefault="00A31CC3" w:rsidP="00A31CC3">
      <w:pPr>
        <w:ind w:left="773" w:hangingChars="322" w:hanging="773"/>
        <w:contextualSpacing/>
        <w:mirrorIndents/>
        <w:jc w:val="both"/>
        <w:rPr>
          <w:rFonts w:ascii="Times New Roman" w:eastAsiaTheme="minorHAnsi" w:hAnsi="Times New Roman" w:cs="Times New Roman"/>
          <w:sz w:val="24"/>
          <w:szCs w:val="24"/>
          <w:lang w:eastAsia="en-US"/>
        </w:rPr>
      </w:pPr>
      <w:proofErr w:type="spellStart"/>
      <w:r w:rsidRPr="00814262">
        <w:rPr>
          <w:rFonts w:ascii="Times New Roman" w:eastAsiaTheme="minorHAnsi" w:hAnsi="Times New Roman" w:cs="Times New Roman"/>
          <w:sz w:val="24"/>
          <w:szCs w:val="24"/>
          <w:lang w:eastAsia="en-US"/>
        </w:rPr>
        <w:t>Iedema</w:t>
      </w:r>
      <w:proofErr w:type="spellEnd"/>
      <w:r w:rsidRPr="00814262">
        <w:rPr>
          <w:rFonts w:ascii="Times New Roman" w:eastAsiaTheme="minorHAnsi" w:hAnsi="Times New Roman" w:cs="Times New Roman"/>
          <w:sz w:val="24"/>
          <w:szCs w:val="24"/>
          <w:lang w:eastAsia="en-US"/>
        </w:rPr>
        <w:t xml:space="preserve">, Rick, and Ruth </w:t>
      </w:r>
      <w:proofErr w:type="spellStart"/>
      <w:r w:rsidRPr="00814262">
        <w:rPr>
          <w:rFonts w:ascii="Times New Roman" w:eastAsiaTheme="minorHAnsi" w:hAnsi="Times New Roman" w:cs="Times New Roman"/>
          <w:sz w:val="24"/>
          <w:szCs w:val="24"/>
          <w:lang w:eastAsia="en-US"/>
        </w:rPr>
        <w:t>Wodak</w:t>
      </w:r>
      <w:proofErr w:type="spellEnd"/>
      <w:r w:rsidRPr="00814262">
        <w:rPr>
          <w:rFonts w:ascii="Times New Roman" w:eastAsiaTheme="minorHAnsi" w:hAnsi="Times New Roman" w:cs="Times New Roman"/>
          <w:sz w:val="24"/>
          <w:szCs w:val="24"/>
          <w:lang w:eastAsia="en-US"/>
        </w:rPr>
        <w:t xml:space="preserve"> (1999), “Introduction: Organizational Discourses and Practices”, </w:t>
      </w:r>
      <w:r w:rsidRPr="00814262">
        <w:rPr>
          <w:rFonts w:ascii="Times New Roman" w:eastAsiaTheme="minorHAnsi" w:hAnsi="Times New Roman" w:cs="Times New Roman"/>
          <w:i/>
          <w:sz w:val="24"/>
          <w:szCs w:val="24"/>
          <w:lang w:eastAsia="en-US"/>
        </w:rPr>
        <w:t>Discourse &amp; Society</w:t>
      </w:r>
      <w:r w:rsidRPr="00814262">
        <w:rPr>
          <w:rFonts w:ascii="Times New Roman" w:eastAsiaTheme="minorHAnsi" w:hAnsi="Times New Roman" w:cs="Times New Roman"/>
          <w:sz w:val="24"/>
          <w:szCs w:val="24"/>
          <w:lang w:eastAsia="en-US"/>
        </w:rPr>
        <w:t>, 10:1: 5–19.</w:t>
      </w:r>
    </w:p>
    <w:p w14:paraId="2EF511C7"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814262">
        <w:rPr>
          <w:rFonts w:ascii="Times New Roman" w:eastAsia="Times New Roman" w:hAnsi="Times New Roman" w:cs="Times New Roman"/>
          <w:sz w:val="24"/>
          <w:szCs w:val="24"/>
          <w:bdr w:val="none" w:sz="0" w:space="0" w:color="auto" w:frame="1"/>
        </w:rPr>
        <w:lastRenderedPageBreak/>
        <w:t>Krzyżanowski</w:t>
      </w:r>
      <w:proofErr w:type="spellEnd"/>
      <w:r w:rsidRPr="00814262">
        <w:rPr>
          <w:rFonts w:ascii="Times New Roman" w:eastAsia="Times New Roman" w:hAnsi="Times New Roman" w:cs="Times New Roman"/>
          <w:sz w:val="24"/>
          <w:szCs w:val="24"/>
          <w:bdr w:val="none" w:sz="0" w:space="0" w:color="auto" w:frame="1"/>
        </w:rPr>
        <w:t xml:space="preserve">, Michal (2015), “ International </w:t>
      </w:r>
      <w:proofErr w:type="spellStart"/>
      <w:r w:rsidRPr="00814262">
        <w:rPr>
          <w:rFonts w:ascii="Times New Roman" w:eastAsia="Times New Roman" w:hAnsi="Times New Roman" w:cs="Times New Roman"/>
          <w:sz w:val="24"/>
          <w:szCs w:val="24"/>
          <w:bdr w:val="none" w:sz="0" w:space="0" w:color="auto" w:frame="1"/>
        </w:rPr>
        <w:t>Leaderchip</w:t>
      </w:r>
      <w:proofErr w:type="spellEnd"/>
      <w:r w:rsidRPr="00814262">
        <w:rPr>
          <w:rFonts w:ascii="Times New Roman" w:eastAsia="Times New Roman" w:hAnsi="Times New Roman" w:cs="Times New Roman"/>
          <w:sz w:val="24"/>
          <w:szCs w:val="24"/>
          <w:bdr w:val="none" w:sz="0" w:space="0" w:color="auto" w:frame="1"/>
        </w:rPr>
        <w:t xml:space="preserve"> Re-/Constructed?: Ambivalence and Heterogeneity of identity Discourses in European Union’s Policy on Climate Change”, </w:t>
      </w:r>
      <w:r w:rsidRPr="00814262">
        <w:rPr>
          <w:rFonts w:ascii="Times New Roman" w:eastAsia="Times New Roman" w:hAnsi="Times New Roman" w:cs="Times New Roman"/>
          <w:i/>
          <w:sz w:val="24"/>
          <w:szCs w:val="24"/>
          <w:bdr w:val="none" w:sz="0" w:space="0" w:color="auto" w:frame="1"/>
        </w:rPr>
        <w:t>Journal of Language and Politics</w:t>
      </w:r>
      <w:r w:rsidRPr="00814262">
        <w:rPr>
          <w:rFonts w:ascii="Times New Roman" w:eastAsia="Times New Roman" w:hAnsi="Times New Roman" w:cs="Times New Roman"/>
          <w:sz w:val="24"/>
          <w:szCs w:val="24"/>
          <w:bdr w:val="none" w:sz="0" w:space="0" w:color="auto" w:frame="1"/>
        </w:rPr>
        <w:t>, 14:1, 110-133.</w:t>
      </w:r>
    </w:p>
    <w:p w14:paraId="0AB7BF6F"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heme="minorHAnsi" w:hAnsi="Times New Roman" w:cs="Times New Roman"/>
          <w:sz w:val="24"/>
          <w:szCs w:val="24"/>
          <w:lang w:eastAsia="en-US"/>
        </w:rPr>
      </w:pPr>
      <w:r w:rsidRPr="00814262">
        <w:rPr>
          <w:rFonts w:ascii="Times New Roman" w:eastAsia="Times New Roman" w:hAnsi="Times New Roman" w:cs="Times New Roman"/>
          <w:sz w:val="24"/>
          <w:szCs w:val="24"/>
          <w:bdr w:val="none" w:sz="0" w:space="0" w:color="auto" w:frame="1"/>
        </w:rPr>
        <w:t xml:space="preserve"> </w:t>
      </w:r>
      <w:proofErr w:type="spellStart"/>
      <w:r w:rsidRPr="00814262">
        <w:rPr>
          <w:rFonts w:ascii="Times New Roman" w:eastAsiaTheme="minorHAnsi" w:hAnsi="Times New Roman" w:cs="Times New Roman"/>
          <w:sz w:val="24"/>
          <w:szCs w:val="24"/>
          <w:lang w:eastAsia="en-US"/>
        </w:rPr>
        <w:t>Laclau</w:t>
      </w:r>
      <w:proofErr w:type="spellEnd"/>
      <w:r w:rsidRPr="00814262">
        <w:rPr>
          <w:rFonts w:ascii="Times New Roman" w:eastAsiaTheme="minorHAnsi" w:hAnsi="Times New Roman" w:cs="Times New Roman"/>
          <w:sz w:val="24"/>
          <w:szCs w:val="24"/>
          <w:lang w:eastAsia="en-US"/>
        </w:rPr>
        <w:t>, Ernesto, and Chantal, </w:t>
      </w:r>
      <w:proofErr w:type="spellStart"/>
      <w:r w:rsidRPr="00814262">
        <w:rPr>
          <w:rFonts w:ascii="Times New Roman" w:eastAsiaTheme="minorHAnsi" w:hAnsi="Times New Roman" w:cs="Times New Roman"/>
          <w:sz w:val="24"/>
          <w:szCs w:val="24"/>
          <w:lang w:eastAsia="en-US"/>
        </w:rPr>
        <w:t>Mouffe</w:t>
      </w:r>
      <w:proofErr w:type="spellEnd"/>
      <w:r w:rsidRPr="00814262">
        <w:rPr>
          <w:rFonts w:ascii="Times New Roman" w:eastAsiaTheme="minorHAnsi" w:hAnsi="Times New Roman" w:cs="Times New Roman"/>
          <w:sz w:val="24"/>
          <w:szCs w:val="24"/>
          <w:lang w:eastAsia="en-US"/>
        </w:rPr>
        <w:t> ([1985] 2001). </w:t>
      </w:r>
      <w:r w:rsidRPr="00814262">
        <w:rPr>
          <w:rFonts w:ascii="Times New Roman" w:eastAsiaTheme="minorHAnsi" w:hAnsi="Times New Roman" w:cs="Times New Roman"/>
          <w:i/>
          <w:iCs/>
          <w:sz w:val="24"/>
          <w:szCs w:val="24"/>
          <w:lang w:eastAsia="en-US"/>
        </w:rPr>
        <w:t>Hegemony and Socialist Strategy</w:t>
      </w:r>
      <w:r w:rsidRPr="00814262">
        <w:rPr>
          <w:rFonts w:ascii="Times New Roman" w:eastAsiaTheme="minorHAnsi" w:hAnsi="Times New Roman" w:cs="Times New Roman"/>
          <w:sz w:val="24"/>
          <w:szCs w:val="24"/>
          <w:lang w:eastAsia="en-US"/>
        </w:rPr>
        <w:t>. London: Verso.</w:t>
      </w:r>
    </w:p>
    <w:p w14:paraId="4637CB62" w14:textId="77777777" w:rsidR="00A31CC3" w:rsidRPr="00814262" w:rsidRDefault="00A31CC3" w:rsidP="00A31CC3">
      <w:pPr>
        <w:shd w:val="clear" w:color="auto" w:fill="FFFFFF"/>
        <w:spacing w:before="100" w:beforeAutospacing="1" w:after="0" w:afterAutospacing="1"/>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814262">
        <w:rPr>
          <w:rFonts w:ascii="Times New Roman" w:eastAsia="Times New Roman" w:hAnsi="Times New Roman" w:cs="Times New Roman"/>
          <w:sz w:val="24"/>
          <w:szCs w:val="24"/>
          <w:bdr w:val="none" w:sz="0" w:space="0" w:color="auto" w:frame="1"/>
        </w:rPr>
        <w:t>Lancet Commission</w:t>
      </w:r>
      <w:r w:rsidRPr="00814262">
        <w:rPr>
          <w:rFonts w:ascii="Times New Roman" w:eastAsia="Times New Roman" w:hAnsi="Times New Roman" w:cs="Times New Roman"/>
          <w:sz w:val="24"/>
          <w:szCs w:val="24"/>
        </w:rPr>
        <w:t xml:space="preserve"> on Health and Climate Change </w:t>
      </w:r>
      <w:r w:rsidRPr="00814262">
        <w:rPr>
          <w:rFonts w:ascii="Times New Roman" w:eastAsia="Times New Roman" w:hAnsi="Times New Roman" w:cs="Times New Roman"/>
          <w:sz w:val="24"/>
          <w:szCs w:val="24"/>
          <w:bdr w:val="none" w:sz="0" w:space="0" w:color="auto" w:frame="1"/>
        </w:rPr>
        <w:t xml:space="preserve">[2017] 2020, “The Lancet Countdown on health and climate change: from 25 years of inaction to a global transformation for public health”, </w:t>
      </w:r>
      <w:r w:rsidRPr="00814262">
        <w:rPr>
          <w:rFonts w:ascii="Times New Roman" w:eastAsia="Times New Roman" w:hAnsi="Times New Roman" w:cs="Times New Roman"/>
          <w:i/>
          <w:sz w:val="24"/>
          <w:szCs w:val="24"/>
          <w:bdr w:val="none" w:sz="0" w:space="0" w:color="auto" w:frame="1"/>
        </w:rPr>
        <w:t>Lancet</w:t>
      </w:r>
      <w:r w:rsidRPr="00814262">
        <w:rPr>
          <w:rFonts w:ascii="Times New Roman" w:eastAsia="Times New Roman" w:hAnsi="Times New Roman" w:cs="Times New Roman"/>
          <w:sz w:val="24"/>
          <w:szCs w:val="24"/>
          <w:bdr w:val="none" w:sz="0" w:space="0" w:color="auto" w:frame="1"/>
        </w:rPr>
        <w:t>, 391: 581–630.</w:t>
      </w:r>
    </w:p>
    <w:p w14:paraId="65824212" w14:textId="77777777" w:rsidR="00A31CC3" w:rsidRPr="00814262" w:rsidRDefault="00A31CC3" w:rsidP="00A31CC3">
      <w:pPr>
        <w:ind w:left="773" w:hangingChars="322" w:hanging="773"/>
        <w:contextualSpacing/>
        <w:mirrorIndents/>
        <w:jc w:val="both"/>
        <w:rPr>
          <w:rFonts w:ascii="Times New Roman" w:eastAsiaTheme="minorHAnsi" w:hAnsi="Times New Roman" w:cs="Times New Roman"/>
          <w:sz w:val="24"/>
          <w:szCs w:val="24"/>
          <w:lang w:val="en-US" w:eastAsia="en-US"/>
        </w:rPr>
      </w:pPr>
      <w:r w:rsidRPr="00814262">
        <w:rPr>
          <w:rFonts w:ascii="Times New Roman" w:eastAsiaTheme="minorHAnsi" w:hAnsi="Times New Roman" w:cs="Times New Roman"/>
          <w:sz w:val="24"/>
          <w:szCs w:val="24"/>
          <w:lang w:eastAsia="en-US"/>
        </w:rPr>
        <w:t xml:space="preserve">Latour, Bruno (1987), </w:t>
      </w:r>
      <w:r w:rsidRPr="00814262">
        <w:rPr>
          <w:rFonts w:ascii="Times New Roman" w:eastAsiaTheme="minorHAnsi" w:hAnsi="Times New Roman" w:cs="Times New Roman"/>
          <w:i/>
          <w:sz w:val="24"/>
          <w:szCs w:val="24"/>
          <w:lang w:eastAsia="en-US"/>
        </w:rPr>
        <w:t>Science in Action: How to Follow Scientists and Engineers through Society</w:t>
      </w:r>
      <w:r w:rsidRPr="00814262">
        <w:rPr>
          <w:rFonts w:ascii="Times New Roman" w:eastAsiaTheme="minorHAnsi" w:hAnsi="Times New Roman" w:cs="Times New Roman"/>
          <w:sz w:val="24"/>
          <w:szCs w:val="24"/>
          <w:lang w:eastAsia="en-US"/>
        </w:rPr>
        <w:t>. Cambridge, MA: Harvard University Press.</w:t>
      </w:r>
      <w:r w:rsidRPr="00814262">
        <w:rPr>
          <w:rFonts w:ascii="Times New Roman" w:eastAsiaTheme="minorHAnsi" w:hAnsi="Times New Roman" w:cs="Times New Roman"/>
          <w:sz w:val="24"/>
          <w:szCs w:val="24"/>
          <w:lang w:val="en-US" w:eastAsia="en-US"/>
        </w:rPr>
        <w:t xml:space="preserve"> </w:t>
      </w:r>
    </w:p>
    <w:p w14:paraId="512D93B7"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814262">
        <w:rPr>
          <w:rFonts w:ascii="Times New Roman" w:eastAsia="Times New Roman" w:hAnsi="Times New Roman" w:cs="Times New Roman"/>
          <w:sz w:val="24"/>
          <w:szCs w:val="24"/>
          <w:bdr w:val="none" w:sz="0" w:space="0" w:color="auto" w:frame="1"/>
        </w:rPr>
        <w:t>Leipold</w:t>
      </w:r>
      <w:proofErr w:type="spellEnd"/>
      <w:r w:rsidRPr="00814262">
        <w:rPr>
          <w:rFonts w:ascii="Times New Roman" w:eastAsia="Times New Roman" w:hAnsi="Times New Roman" w:cs="Times New Roman"/>
          <w:sz w:val="24"/>
          <w:szCs w:val="24"/>
          <w:bdr w:val="none" w:sz="0" w:space="0" w:color="auto" w:frame="1"/>
        </w:rPr>
        <w:t xml:space="preserve">, </w:t>
      </w:r>
      <w:proofErr w:type="spellStart"/>
      <w:r w:rsidRPr="00814262">
        <w:rPr>
          <w:rFonts w:ascii="Times New Roman" w:eastAsia="Times New Roman" w:hAnsi="Times New Roman" w:cs="Times New Roman"/>
          <w:sz w:val="24"/>
          <w:szCs w:val="24"/>
          <w:bdr w:val="none" w:sz="0" w:space="0" w:color="auto" w:frame="1"/>
        </w:rPr>
        <w:t>Sina</w:t>
      </w:r>
      <w:proofErr w:type="spellEnd"/>
      <w:r w:rsidRPr="00814262">
        <w:rPr>
          <w:rFonts w:ascii="Times New Roman" w:eastAsia="Times New Roman" w:hAnsi="Times New Roman" w:cs="Times New Roman"/>
          <w:sz w:val="24"/>
          <w:szCs w:val="24"/>
          <w:bdr w:val="none" w:sz="0" w:space="0" w:color="auto" w:frame="1"/>
        </w:rPr>
        <w:t xml:space="preserve">, </w:t>
      </w:r>
      <w:proofErr w:type="spellStart"/>
      <w:r w:rsidRPr="00814262">
        <w:rPr>
          <w:rFonts w:ascii="Times New Roman" w:eastAsia="Times New Roman" w:hAnsi="Times New Roman" w:cs="Times New Roman"/>
          <w:sz w:val="24"/>
          <w:szCs w:val="24"/>
          <w:bdr w:val="none" w:sz="0" w:space="0" w:color="auto" w:frame="1"/>
        </w:rPr>
        <w:t>Feindt</w:t>
      </w:r>
      <w:proofErr w:type="spellEnd"/>
      <w:r w:rsidRPr="00814262">
        <w:rPr>
          <w:rFonts w:ascii="Times New Roman" w:eastAsia="Times New Roman" w:hAnsi="Times New Roman" w:cs="Times New Roman"/>
          <w:sz w:val="24"/>
          <w:szCs w:val="24"/>
          <w:bdr w:val="none" w:sz="0" w:space="0" w:color="auto" w:frame="1"/>
        </w:rPr>
        <w:t xml:space="preserve">, Peter H., Winkel Georg and Reiner Keller (2019), “Discourse Analysis of Environmental Policy Revisited: Traditions, Trends, Perspectives”, </w:t>
      </w:r>
      <w:r w:rsidRPr="00814262">
        <w:rPr>
          <w:rFonts w:ascii="Times New Roman" w:eastAsia="Times New Roman" w:hAnsi="Times New Roman" w:cs="Times New Roman"/>
          <w:i/>
          <w:sz w:val="24"/>
          <w:szCs w:val="24"/>
          <w:bdr w:val="none" w:sz="0" w:space="0" w:color="auto" w:frame="1"/>
        </w:rPr>
        <w:t>Journal of Environmental Policy Planning</w:t>
      </w:r>
      <w:r w:rsidRPr="00814262">
        <w:rPr>
          <w:rFonts w:ascii="Times New Roman" w:eastAsia="Times New Roman" w:hAnsi="Times New Roman" w:cs="Times New Roman"/>
          <w:sz w:val="24"/>
          <w:szCs w:val="24"/>
          <w:bdr w:val="none" w:sz="0" w:space="0" w:color="auto" w:frame="1"/>
        </w:rPr>
        <w:t xml:space="preserve">, 21:5, 445-463. </w:t>
      </w:r>
    </w:p>
    <w:p w14:paraId="5C88B1E4" w14:textId="77777777" w:rsidR="00A31CC3" w:rsidRPr="00ED5972" w:rsidRDefault="00A31CC3" w:rsidP="00A31CC3">
      <w:pPr>
        <w:ind w:left="773" w:hangingChars="322" w:hanging="773"/>
        <w:contextualSpacing/>
        <w:mirrorIndents/>
        <w:jc w:val="both"/>
        <w:rPr>
          <w:rFonts w:ascii="Times New Roman" w:eastAsiaTheme="minorHAnsi" w:hAnsi="Times New Roman" w:cs="Times New Roman"/>
          <w:sz w:val="24"/>
          <w:szCs w:val="24"/>
          <w:lang w:val="en-US" w:eastAsia="en-US"/>
        </w:rPr>
      </w:pPr>
      <w:r w:rsidRPr="00814262">
        <w:rPr>
          <w:rFonts w:ascii="Times New Roman" w:eastAsiaTheme="minorHAnsi" w:hAnsi="Times New Roman" w:cs="Times New Roman"/>
          <w:sz w:val="24"/>
          <w:szCs w:val="24"/>
          <w:lang w:val="en-US" w:eastAsia="en-US"/>
        </w:rPr>
        <w:t xml:space="preserve">Martin, John R., and Peter R. R. White (2005). </w:t>
      </w:r>
      <w:r w:rsidRPr="00814262">
        <w:rPr>
          <w:rFonts w:ascii="Times New Roman" w:eastAsiaTheme="minorHAnsi" w:hAnsi="Times New Roman" w:cs="Times New Roman"/>
          <w:i/>
          <w:iCs/>
          <w:sz w:val="24"/>
          <w:szCs w:val="24"/>
          <w:lang w:val="en-US" w:eastAsia="en-US"/>
        </w:rPr>
        <w:t>The Language of Evaluation</w:t>
      </w:r>
      <w:r w:rsidRPr="00A207CD">
        <w:rPr>
          <w:rFonts w:ascii="Times New Roman" w:eastAsiaTheme="minorHAnsi" w:hAnsi="Times New Roman" w:cs="Times New Roman"/>
          <w:i/>
          <w:iCs/>
          <w:sz w:val="24"/>
          <w:szCs w:val="24"/>
          <w:lang w:val="en-US" w:eastAsia="en-US"/>
        </w:rPr>
        <w:fldChar w:fldCharType="begin"/>
      </w:r>
      <w:r w:rsidRPr="00A207CD">
        <w:rPr>
          <w:rFonts w:ascii="Times New Roman" w:eastAsiaTheme="minorHAnsi" w:hAnsi="Times New Roman" w:cs="Times New Roman"/>
          <w:sz w:val="24"/>
          <w:szCs w:val="24"/>
          <w:lang w:eastAsia="en-US"/>
        </w:rPr>
        <w:instrText xml:space="preserve"> XE "</w:instrText>
      </w:r>
      <w:r w:rsidRPr="00A207CD">
        <w:rPr>
          <w:rFonts w:ascii="Times New Roman" w:eastAsia="Times New Roman" w:hAnsi="Times New Roman" w:cs="Times New Roman"/>
          <w:bCs/>
          <w:iCs/>
          <w:sz w:val="24"/>
          <w:szCs w:val="24"/>
          <w:lang w:eastAsia="en-US"/>
        </w:rPr>
        <w:instrText>Evaluation</w:instrText>
      </w:r>
      <w:r w:rsidRPr="00FA2912">
        <w:rPr>
          <w:rFonts w:ascii="Times New Roman" w:eastAsiaTheme="minorHAnsi" w:hAnsi="Times New Roman" w:cs="Times New Roman"/>
          <w:sz w:val="24"/>
          <w:szCs w:val="24"/>
          <w:lang w:eastAsia="en-US"/>
        </w:rPr>
        <w:instrText xml:space="preserve">" </w:instrText>
      </w:r>
      <w:r w:rsidRPr="00A207CD">
        <w:rPr>
          <w:rFonts w:ascii="Times New Roman" w:eastAsiaTheme="minorHAnsi" w:hAnsi="Times New Roman" w:cs="Times New Roman"/>
          <w:i/>
          <w:iCs/>
          <w:sz w:val="24"/>
          <w:szCs w:val="24"/>
          <w:lang w:val="en-US" w:eastAsia="en-US"/>
        </w:rPr>
        <w:fldChar w:fldCharType="end"/>
      </w:r>
      <w:r w:rsidRPr="00A207CD">
        <w:rPr>
          <w:rFonts w:ascii="Times New Roman" w:eastAsiaTheme="minorHAnsi" w:hAnsi="Times New Roman" w:cs="Times New Roman"/>
          <w:i/>
          <w:iCs/>
          <w:sz w:val="24"/>
          <w:szCs w:val="24"/>
          <w:lang w:val="en-US" w:eastAsia="en-US"/>
        </w:rPr>
        <w:t>: The Appraisal Framework</w:t>
      </w:r>
      <w:r w:rsidRPr="00971E1E">
        <w:rPr>
          <w:rFonts w:ascii="Times New Roman" w:eastAsiaTheme="minorHAnsi" w:hAnsi="Times New Roman" w:cs="Times New Roman"/>
          <w:i/>
          <w:iCs/>
          <w:sz w:val="24"/>
          <w:szCs w:val="24"/>
          <w:lang w:eastAsia="en-US"/>
        </w:rPr>
        <w:t>.</w:t>
      </w:r>
      <w:r w:rsidRPr="00ED5972">
        <w:rPr>
          <w:rFonts w:ascii="Times New Roman" w:eastAsiaTheme="minorHAnsi" w:hAnsi="Times New Roman" w:cs="Times New Roman"/>
          <w:sz w:val="24"/>
          <w:szCs w:val="24"/>
          <w:lang w:val="en-US" w:eastAsia="en-US"/>
        </w:rPr>
        <w:t xml:space="preserve"> </w:t>
      </w:r>
      <w:proofErr w:type="spellStart"/>
      <w:r w:rsidRPr="00ED5972">
        <w:rPr>
          <w:rFonts w:ascii="Times New Roman" w:eastAsiaTheme="minorHAnsi" w:hAnsi="Times New Roman" w:cs="Times New Roman"/>
          <w:sz w:val="24"/>
          <w:szCs w:val="24"/>
          <w:lang w:val="en-US" w:eastAsia="en-US"/>
        </w:rPr>
        <w:t>Houndmills</w:t>
      </w:r>
      <w:proofErr w:type="spellEnd"/>
      <w:r w:rsidRPr="00ED5972">
        <w:rPr>
          <w:rFonts w:ascii="Times New Roman" w:eastAsiaTheme="minorHAnsi" w:hAnsi="Times New Roman" w:cs="Times New Roman"/>
          <w:sz w:val="24"/>
          <w:szCs w:val="24"/>
          <w:lang w:val="en-US" w:eastAsia="en-US"/>
        </w:rPr>
        <w:t>: Palgrave Macmillan.</w:t>
      </w:r>
    </w:p>
    <w:p w14:paraId="031D4C93" w14:textId="77777777" w:rsidR="00A31CC3" w:rsidRPr="00A207CD" w:rsidRDefault="00A31CC3" w:rsidP="00A31CC3">
      <w:pPr>
        <w:ind w:left="773" w:hangingChars="322" w:hanging="773"/>
        <w:contextualSpacing/>
        <w:mirrorIndents/>
        <w:jc w:val="both"/>
        <w:rPr>
          <w:rFonts w:ascii="Times New Roman" w:eastAsia="Palatino" w:hAnsi="Times New Roman" w:cs="Times New Roman"/>
          <w:sz w:val="24"/>
          <w:szCs w:val="24"/>
          <w:lang w:val="en-US" w:eastAsia="en-US"/>
        </w:rPr>
      </w:pPr>
      <w:r w:rsidRPr="00BE1DA1">
        <w:rPr>
          <w:rFonts w:ascii="Times New Roman" w:eastAsiaTheme="minorHAnsi" w:hAnsi="Times New Roman" w:cs="Times New Roman"/>
          <w:sz w:val="24"/>
          <w:szCs w:val="24"/>
          <w:lang w:val="en-US" w:eastAsia="en-US"/>
        </w:rPr>
        <w:t xml:space="preserve">Machin, David, and Andrea Mayr (2012), </w:t>
      </w:r>
      <w:r w:rsidRPr="00020287">
        <w:rPr>
          <w:rFonts w:ascii="Times New Roman" w:eastAsiaTheme="minorHAnsi" w:hAnsi="Times New Roman" w:cs="Times New Roman"/>
          <w:i/>
          <w:iCs/>
          <w:sz w:val="24"/>
          <w:szCs w:val="24"/>
          <w:lang w:val="en-US" w:eastAsia="en-US"/>
        </w:rPr>
        <w:t>How to Do Critical Discourse Analysis</w:t>
      </w:r>
      <w:r w:rsidRPr="00A207CD">
        <w:rPr>
          <w:rFonts w:ascii="Times New Roman" w:eastAsiaTheme="minorHAnsi" w:hAnsi="Times New Roman" w:cs="Times New Roman"/>
          <w:i/>
          <w:iCs/>
          <w:sz w:val="24"/>
          <w:szCs w:val="24"/>
          <w:lang w:val="en-US" w:eastAsia="en-US"/>
        </w:rPr>
        <w:fldChar w:fldCharType="begin"/>
      </w:r>
      <w:r w:rsidRPr="00A207CD">
        <w:rPr>
          <w:rFonts w:ascii="Times New Roman" w:eastAsiaTheme="minorHAnsi" w:hAnsi="Times New Roman" w:cs="Times New Roman"/>
          <w:sz w:val="24"/>
          <w:szCs w:val="24"/>
          <w:lang w:eastAsia="en-US"/>
        </w:rPr>
        <w:instrText xml:space="preserve"> XE "Critical Discourse Analysis" </w:instrText>
      </w:r>
      <w:r w:rsidRPr="00A207CD">
        <w:rPr>
          <w:rFonts w:ascii="Times New Roman" w:eastAsiaTheme="minorHAnsi" w:hAnsi="Times New Roman" w:cs="Times New Roman"/>
          <w:i/>
          <w:iCs/>
          <w:sz w:val="24"/>
          <w:szCs w:val="24"/>
          <w:lang w:val="en-US" w:eastAsia="en-US"/>
        </w:rPr>
        <w:fldChar w:fldCharType="end"/>
      </w:r>
      <w:r w:rsidRPr="00A207CD">
        <w:rPr>
          <w:rFonts w:ascii="Times New Roman" w:eastAsiaTheme="minorHAnsi" w:hAnsi="Times New Roman" w:cs="Times New Roman"/>
          <w:sz w:val="24"/>
          <w:szCs w:val="24"/>
          <w:lang w:val="en-US" w:eastAsia="en-US"/>
        </w:rPr>
        <w:t xml:space="preserve">. London: Sage. </w:t>
      </w:r>
    </w:p>
    <w:p w14:paraId="160F6797" w14:textId="77777777" w:rsidR="00A31CC3" w:rsidRPr="00BE1DA1"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lang w:val="en-US"/>
        </w:rPr>
      </w:pPr>
      <w:r w:rsidRPr="00971E1E">
        <w:rPr>
          <w:rFonts w:ascii="Times New Roman" w:eastAsia="Times New Roman" w:hAnsi="Times New Roman" w:cs="Times New Roman"/>
          <w:sz w:val="24"/>
          <w:szCs w:val="24"/>
          <w:lang w:val="en-US"/>
        </w:rPr>
        <w:t xml:space="preserve">Mautner, </w:t>
      </w:r>
      <w:proofErr w:type="spellStart"/>
      <w:r w:rsidRPr="00971E1E">
        <w:rPr>
          <w:rFonts w:ascii="Times New Roman" w:eastAsia="Times New Roman" w:hAnsi="Times New Roman" w:cs="Times New Roman"/>
          <w:sz w:val="24"/>
          <w:szCs w:val="24"/>
          <w:lang w:val="en-US"/>
        </w:rPr>
        <w:t>Gerlinde</w:t>
      </w:r>
      <w:proofErr w:type="spellEnd"/>
      <w:r w:rsidRPr="00971E1E">
        <w:rPr>
          <w:rFonts w:ascii="Times New Roman" w:eastAsia="Times New Roman" w:hAnsi="Times New Roman" w:cs="Times New Roman"/>
          <w:sz w:val="24"/>
          <w:szCs w:val="24"/>
          <w:lang w:val="en-US"/>
        </w:rPr>
        <w:t xml:space="preserve"> (2009), “Checks and Balances: How Corpus Linguistics can contribute to CDA”, in Ruth </w:t>
      </w:r>
      <w:proofErr w:type="spellStart"/>
      <w:r w:rsidRPr="00971E1E">
        <w:rPr>
          <w:rFonts w:ascii="Times New Roman" w:eastAsia="Times New Roman" w:hAnsi="Times New Roman" w:cs="Times New Roman"/>
          <w:sz w:val="24"/>
          <w:szCs w:val="24"/>
          <w:lang w:val="en-US"/>
        </w:rPr>
        <w:t>Wodak</w:t>
      </w:r>
      <w:proofErr w:type="spellEnd"/>
      <w:r w:rsidRPr="00971E1E">
        <w:rPr>
          <w:rFonts w:ascii="Times New Roman" w:eastAsia="Times New Roman" w:hAnsi="Times New Roman" w:cs="Times New Roman"/>
          <w:sz w:val="24"/>
          <w:szCs w:val="24"/>
          <w:lang w:val="en-US"/>
        </w:rPr>
        <w:t xml:space="preserve"> and Michael Mayer (Eds.), </w:t>
      </w:r>
      <w:r w:rsidRPr="00ED5972">
        <w:rPr>
          <w:rFonts w:ascii="Times New Roman" w:eastAsia="Times New Roman" w:hAnsi="Times New Roman" w:cs="Times New Roman"/>
          <w:i/>
          <w:iCs/>
          <w:sz w:val="24"/>
          <w:szCs w:val="24"/>
          <w:lang w:val="en-US"/>
        </w:rPr>
        <w:t>Methods of Critical Discourse Analysis</w:t>
      </w:r>
      <w:r w:rsidRPr="00ED5972">
        <w:rPr>
          <w:rFonts w:ascii="Times New Roman" w:eastAsia="Times New Roman" w:hAnsi="Times New Roman" w:cs="Times New Roman"/>
          <w:sz w:val="24"/>
          <w:szCs w:val="24"/>
          <w:lang w:val="en-US"/>
        </w:rPr>
        <w:t xml:space="preserve"> (2nd ed.). Sage.</w:t>
      </w:r>
    </w:p>
    <w:p w14:paraId="6805CA92"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A44750">
        <w:rPr>
          <w:rFonts w:ascii="Times New Roman" w:eastAsia="Times New Roman" w:hAnsi="Times New Roman" w:cs="Times New Roman"/>
          <w:sz w:val="24"/>
          <w:szCs w:val="24"/>
          <w:shd w:val="clear" w:color="auto" w:fill="FFFFFF"/>
        </w:rPr>
        <w:t>Mumby</w:t>
      </w:r>
      <w:proofErr w:type="spellEnd"/>
      <w:r w:rsidRPr="00A44750">
        <w:rPr>
          <w:rFonts w:ascii="Times New Roman" w:eastAsia="Times New Roman" w:hAnsi="Times New Roman" w:cs="Times New Roman"/>
          <w:sz w:val="24"/>
          <w:szCs w:val="24"/>
          <w:shd w:val="clear" w:color="auto" w:fill="FFFFFF"/>
        </w:rPr>
        <w:t xml:space="preserve">, Dennis </w:t>
      </w:r>
      <w:proofErr w:type="spellStart"/>
      <w:r w:rsidRPr="00A44750">
        <w:rPr>
          <w:rFonts w:ascii="Times New Roman" w:eastAsia="Times New Roman" w:hAnsi="Times New Roman" w:cs="Times New Roman"/>
          <w:sz w:val="24"/>
          <w:szCs w:val="24"/>
          <w:shd w:val="clear" w:color="auto" w:fill="FFFFFF"/>
        </w:rPr>
        <w:t>K.,and</w:t>
      </w:r>
      <w:proofErr w:type="spellEnd"/>
      <w:r w:rsidRPr="00A44750">
        <w:rPr>
          <w:rFonts w:ascii="Times New Roman" w:eastAsia="Times New Roman" w:hAnsi="Times New Roman" w:cs="Times New Roman"/>
          <w:sz w:val="24"/>
          <w:szCs w:val="24"/>
          <w:shd w:val="clear" w:color="auto" w:fill="FFFFFF"/>
        </w:rPr>
        <w:t xml:space="preserve"> Robin P. Clair (1997), “Organizational discourse”, in Teun A. van Dijk (ed.), </w:t>
      </w:r>
      <w:r w:rsidRPr="00A44750">
        <w:rPr>
          <w:rFonts w:ascii="Times New Roman" w:eastAsia="Times New Roman" w:hAnsi="Times New Roman" w:cs="Times New Roman"/>
          <w:i/>
          <w:iCs/>
          <w:sz w:val="24"/>
          <w:szCs w:val="24"/>
          <w:shd w:val="clear" w:color="auto" w:fill="FFFFFF"/>
        </w:rPr>
        <w:t>Discourse as social interaction: Discourse studies: A multidisciplinary introduction, </w:t>
      </w:r>
      <w:r w:rsidRPr="00814262">
        <w:rPr>
          <w:rFonts w:ascii="Times New Roman" w:eastAsia="Times New Roman" w:hAnsi="Times New Roman" w:cs="Times New Roman"/>
          <w:sz w:val="24"/>
          <w:szCs w:val="24"/>
          <w:shd w:val="clear" w:color="auto" w:fill="FFFFFF"/>
        </w:rPr>
        <w:t>Vol. 2, London, Thousand Oaks and New Delhi, Sage Publications, 181–205.</w:t>
      </w:r>
    </w:p>
    <w:p w14:paraId="41393528" w14:textId="77777777" w:rsidR="00A31CC3" w:rsidRPr="00814262" w:rsidRDefault="00A31CC3" w:rsidP="00A31CC3">
      <w:pPr>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814262">
        <w:rPr>
          <w:rFonts w:ascii="Times New Roman" w:eastAsia="Times New Roman" w:hAnsi="Times New Roman" w:cs="Times New Roman"/>
          <w:sz w:val="24"/>
          <w:szCs w:val="24"/>
          <w:bdr w:val="none" w:sz="0" w:space="0" w:color="auto" w:frame="1"/>
        </w:rPr>
        <w:t>Oberhuber</w:t>
      </w:r>
      <w:proofErr w:type="spellEnd"/>
      <w:r w:rsidRPr="00814262">
        <w:rPr>
          <w:rFonts w:ascii="Times New Roman" w:eastAsia="Times New Roman" w:hAnsi="Times New Roman" w:cs="Times New Roman"/>
          <w:sz w:val="24"/>
          <w:szCs w:val="24"/>
          <w:bdr w:val="none" w:sz="0" w:space="0" w:color="auto" w:frame="1"/>
        </w:rPr>
        <w:t xml:space="preserve"> Florian, and Michael, </w:t>
      </w:r>
      <w:proofErr w:type="spellStart"/>
      <w:r w:rsidRPr="00814262">
        <w:rPr>
          <w:rFonts w:ascii="Times New Roman" w:eastAsiaTheme="minorHAnsi" w:hAnsi="Times New Roman" w:cs="Times New Roman"/>
          <w:sz w:val="24"/>
          <w:szCs w:val="24"/>
          <w:bdr w:val="none" w:sz="0" w:space="0" w:color="auto" w:frame="1"/>
          <w:lang w:eastAsia="en-US"/>
        </w:rPr>
        <w:t>Krzyżanowski</w:t>
      </w:r>
      <w:proofErr w:type="spellEnd"/>
      <w:r w:rsidRPr="00814262">
        <w:rPr>
          <w:rFonts w:ascii="Times New Roman" w:eastAsiaTheme="minorHAnsi" w:hAnsi="Times New Roman" w:cs="Times New Roman"/>
          <w:sz w:val="24"/>
          <w:szCs w:val="24"/>
          <w:bdr w:val="none" w:sz="0" w:space="0" w:color="auto" w:frame="1"/>
          <w:lang w:eastAsia="en-US"/>
        </w:rPr>
        <w:t>, Michal</w:t>
      </w:r>
      <w:r w:rsidRPr="00814262">
        <w:rPr>
          <w:rFonts w:ascii="Times New Roman" w:eastAsia="Times New Roman" w:hAnsi="Times New Roman" w:cs="Times New Roman"/>
          <w:sz w:val="24"/>
          <w:szCs w:val="24"/>
          <w:bdr w:val="none" w:sz="0" w:space="0" w:color="auto" w:frame="1"/>
        </w:rPr>
        <w:t xml:space="preserve"> (2007), “(Un)Doing Europe: Discourses and practices of negotiating the EU Constitution”, Brussels et al.: P.I.E.-Peter Lang: Peter Lang.</w:t>
      </w:r>
    </w:p>
    <w:p w14:paraId="4AB90B82" w14:textId="77777777" w:rsidR="00A31CC3" w:rsidRPr="00814262" w:rsidRDefault="00A31CC3" w:rsidP="00A31CC3">
      <w:pPr>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814262">
        <w:rPr>
          <w:rFonts w:ascii="Times New Roman" w:eastAsiaTheme="minorHAnsi" w:hAnsi="Times New Roman" w:cs="Times New Roman"/>
          <w:sz w:val="24"/>
          <w:szCs w:val="24"/>
          <w:lang w:val="en-US" w:eastAsia="en-US"/>
        </w:rPr>
        <w:t>Pecman</w:t>
      </w:r>
      <w:proofErr w:type="spellEnd"/>
      <w:r w:rsidRPr="00814262">
        <w:rPr>
          <w:rFonts w:ascii="Times New Roman" w:eastAsiaTheme="minorHAnsi" w:hAnsi="Times New Roman" w:cs="Times New Roman"/>
          <w:sz w:val="24"/>
          <w:szCs w:val="24"/>
          <w:lang w:val="en-US" w:eastAsia="en-US"/>
        </w:rPr>
        <w:t xml:space="preserve">, Monica (2012), “Tentativeness in Term Formation: A Study of Neology as a Rhetorical Device in Scientific Papers”, </w:t>
      </w:r>
      <w:r w:rsidRPr="00814262">
        <w:rPr>
          <w:rFonts w:ascii="Times New Roman" w:eastAsiaTheme="minorHAnsi" w:hAnsi="Times New Roman" w:cs="Times New Roman"/>
          <w:i/>
          <w:iCs/>
          <w:sz w:val="24"/>
          <w:szCs w:val="24"/>
          <w:lang w:val="en-US" w:eastAsia="en-US"/>
        </w:rPr>
        <w:t>Terminology</w:t>
      </w:r>
      <w:r w:rsidRPr="00814262">
        <w:rPr>
          <w:rFonts w:ascii="Times New Roman" w:eastAsiaTheme="minorHAnsi" w:hAnsi="Times New Roman" w:cs="Times New Roman"/>
          <w:iCs/>
          <w:sz w:val="24"/>
          <w:szCs w:val="24"/>
          <w:lang w:val="en-US" w:eastAsia="en-US"/>
        </w:rPr>
        <w:t>,</w:t>
      </w:r>
      <w:r w:rsidRPr="00814262">
        <w:rPr>
          <w:rFonts w:ascii="Times New Roman" w:eastAsiaTheme="minorHAnsi" w:hAnsi="Times New Roman" w:cs="Times New Roman"/>
          <w:i/>
          <w:iCs/>
          <w:sz w:val="24"/>
          <w:szCs w:val="24"/>
          <w:lang w:val="en-US" w:eastAsia="en-US"/>
        </w:rPr>
        <w:t xml:space="preserve"> </w:t>
      </w:r>
      <w:r w:rsidRPr="00814262">
        <w:rPr>
          <w:rFonts w:ascii="Times New Roman" w:eastAsiaTheme="minorHAnsi" w:hAnsi="Times New Roman" w:cs="Times New Roman"/>
          <w:sz w:val="24"/>
          <w:szCs w:val="24"/>
          <w:lang w:val="en-US" w:eastAsia="en-US"/>
        </w:rPr>
        <w:t xml:space="preserve">18:1: 27–58. </w:t>
      </w:r>
    </w:p>
    <w:p w14:paraId="37FB5B1C" w14:textId="77777777" w:rsidR="00A31CC3" w:rsidRPr="00814262" w:rsidRDefault="00A31CC3" w:rsidP="00A31CC3">
      <w:pPr>
        <w:shd w:val="clear" w:color="auto" w:fill="FFFFFF"/>
        <w:spacing w:after="0"/>
        <w:ind w:left="773" w:hangingChars="322" w:hanging="773"/>
        <w:contextualSpacing/>
        <w:mirrorIndents/>
        <w:rPr>
          <w:rFonts w:ascii="Times New Roman" w:eastAsia="Times New Roman" w:hAnsi="Times New Roman" w:cs="Times New Roman"/>
          <w:sz w:val="24"/>
          <w:szCs w:val="24"/>
          <w:bdr w:val="none" w:sz="0" w:space="0" w:color="auto" w:frame="1"/>
        </w:rPr>
      </w:pPr>
      <w:r w:rsidRPr="00814262">
        <w:rPr>
          <w:rFonts w:ascii="Times New Roman" w:eastAsia="Times New Roman" w:hAnsi="Times New Roman" w:cs="Times New Roman"/>
          <w:sz w:val="24"/>
          <w:szCs w:val="24"/>
          <w:bdr w:val="none" w:sz="0" w:space="0" w:color="auto" w:frame="1"/>
        </w:rPr>
        <w:t xml:space="preserve">Rayner, Tim, and </w:t>
      </w:r>
      <w:proofErr w:type="spellStart"/>
      <w:r w:rsidRPr="00814262">
        <w:rPr>
          <w:rFonts w:ascii="Times New Roman" w:eastAsia="Times New Roman" w:hAnsi="Times New Roman" w:cs="Times New Roman"/>
          <w:sz w:val="24"/>
          <w:szCs w:val="24"/>
          <w:bdr w:val="none" w:sz="0" w:space="0" w:color="auto" w:frame="1"/>
        </w:rPr>
        <w:t>Adrew</w:t>
      </w:r>
      <w:proofErr w:type="spellEnd"/>
      <w:r w:rsidRPr="00814262">
        <w:rPr>
          <w:rFonts w:ascii="Times New Roman" w:eastAsia="Times New Roman" w:hAnsi="Times New Roman" w:cs="Times New Roman"/>
          <w:sz w:val="24"/>
          <w:szCs w:val="24"/>
          <w:bdr w:val="none" w:sz="0" w:space="0" w:color="auto" w:frame="1"/>
        </w:rPr>
        <w:t xml:space="preserve"> Jordan (2016), “Climate Change in Policy in the European Union”, </w:t>
      </w:r>
      <w:r w:rsidRPr="00814262">
        <w:rPr>
          <w:rFonts w:ascii="Times New Roman" w:eastAsia="Times New Roman" w:hAnsi="Times New Roman" w:cs="Times New Roman"/>
          <w:i/>
          <w:sz w:val="24"/>
          <w:szCs w:val="24"/>
          <w:bdr w:val="none" w:sz="0" w:space="0" w:color="auto" w:frame="1"/>
        </w:rPr>
        <w:t xml:space="preserve">Oxford Research </w:t>
      </w:r>
      <w:proofErr w:type="spellStart"/>
      <w:r w:rsidRPr="00814262">
        <w:rPr>
          <w:rFonts w:ascii="Times New Roman" w:eastAsia="Times New Roman" w:hAnsi="Times New Roman" w:cs="Times New Roman"/>
          <w:i/>
          <w:sz w:val="24"/>
          <w:szCs w:val="24"/>
          <w:bdr w:val="none" w:sz="0" w:space="0" w:color="auto" w:frame="1"/>
        </w:rPr>
        <w:t>Encyclopedias</w:t>
      </w:r>
      <w:proofErr w:type="spellEnd"/>
      <w:r w:rsidRPr="00814262">
        <w:rPr>
          <w:rFonts w:ascii="Times New Roman" w:eastAsia="Times New Roman" w:hAnsi="Times New Roman" w:cs="Times New Roman"/>
          <w:sz w:val="24"/>
          <w:szCs w:val="24"/>
          <w:bdr w:val="none" w:sz="0" w:space="0" w:color="auto" w:frame="1"/>
        </w:rPr>
        <w:t>, Available at: https://oxfordre.com/view/10.1093/acrefore/9780190228620.001.0001/acrefore-9780190228620-e-47, Last accessed: 24 October 2021</w:t>
      </w:r>
    </w:p>
    <w:p w14:paraId="40E315B1" w14:textId="77777777" w:rsidR="00A31CC3" w:rsidRPr="00ED5972" w:rsidRDefault="00A31CC3" w:rsidP="00A31CC3">
      <w:pPr>
        <w:ind w:left="773" w:hangingChars="322" w:hanging="773"/>
        <w:contextualSpacing/>
        <w:mirrorIndents/>
        <w:jc w:val="both"/>
        <w:rPr>
          <w:rFonts w:ascii="Times New Roman" w:eastAsia="Palatino" w:hAnsi="Times New Roman" w:cs="Times New Roman"/>
          <w:sz w:val="24"/>
          <w:szCs w:val="24"/>
          <w:lang w:val="en-US" w:eastAsia="en-US"/>
        </w:rPr>
      </w:pPr>
      <w:proofErr w:type="spellStart"/>
      <w:r w:rsidRPr="00814262">
        <w:rPr>
          <w:rFonts w:ascii="Times New Roman" w:eastAsiaTheme="minorHAnsi" w:hAnsi="Times New Roman" w:cs="Times New Roman"/>
          <w:sz w:val="24"/>
          <w:szCs w:val="24"/>
          <w:lang w:val="en-US" w:eastAsia="en-US"/>
        </w:rPr>
        <w:t>Reisigl</w:t>
      </w:r>
      <w:proofErr w:type="spellEnd"/>
      <w:r w:rsidRPr="00814262">
        <w:rPr>
          <w:rFonts w:ascii="Times New Roman" w:eastAsiaTheme="minorHAnsi" w:hAnsi="Times New Roman" w:cs="Times New Roman"/>
          <w:sz w:val="24"/>
          <w:szCs w:val="24"/>
          <w:lang w:val="en-US" w:eastAsia="en-US"/>
        </w:rPr>
        <w:t xml:space="preserve">, Martin and Ruth </w:t>
      </w:r>
      <w:proofErr w:type="spellStart"/>
      <w:r w:rsidRPr="00814262">
        <w:rPr>
          <w:rFonts w:ascii="Times New Roman" w:eastAsiaTheme="minorHAnsi" w:hAnsi="Times New Roman" w:cs="Times New Roman"/>
          <w:sz w:val="24"/>
          <w:szCs w:val="24"/>
          <w:lang w:val="en-US" w:eastAsia="en-US"/>
        </w:rPr>
        <w:t>Wodak</w:t>
      </w:r>
      <w:proofErr w:type="spellEnd"/>
      <w:r w:rsidRPr="00A207CD">
        <w:rPr>
          <w:rFonts w:ascii="Times New Roman" w:eastAsiaTheme="minorHAnsi" w:hAnsi="Times New Roman" w:cs="Times New Roman"/>
          <w:sz w:val="24"/>
          <w:szCs w:val="24"/>
          <w:lang w:val="en-US" w:eastAsia="en-US"/>
        </w:rPr>
        <w:fldChar w:fldCharType="begin"/>
      </w:r>
      <w:r w:rsidRPr="00A207CD">
        <w:rPr>
          <w:rFonts w:ascii="Times New Roman" w:eastAsiaTheme="minorHAnsi" w:hAnsi="Times New Roman" w:cs="Times New Roman"/>
          <w:sz w:val="24"/>
          <w:szCs w:val="24"/>
          <w:lang w:eastAsia="en-US"/>
        </w:rPr>
        <w:instrText xml:space="preserve"> XE "</w:instrText>
      </w:r>
      <w:r w:rsidRPr="00A207CD">
        <w:rPr>
          <w:rFonts w:ascii="Times New Roman" w:eastAsiaTheme="minorHAnsi" w:hAnsi="Times New Roman" w:cs="Times New Roman"/>
          <w:sz w:val="24"/>
          <w:szCs w:val="24"/>
          <w:lang w:val="en-US" w:eastAsia="en-US"/>
        </w:rPr>
        <w:instrText>Wodak, Ruth</w:instrText>
      </w:r>
      <w:r w:rsidRPr="00FA2912">
        <w:rPr>
          <w:rFonts w:ascii="Times New Roman" w:eastAsiaTheme="minorHAnsi" w:hAnsi="Times New Roman" w:cs="Times New Roman"/>
          <w:sz w:val="24"/>
          <w:szCs w:val="24"/>
          <w:lang w:eastAsia="en-US"/>
        </w:rPr>
        <w:instrText xml:space="preserve">" </w:instrText>
      </w:r>
      <w:r w:rsidRPr="00A207CD">
        <w:rPr>
          <w:rFonts w:ascii="Times New Roman" w:eastAsiaTheme="minorHAnsi" w:hAnsi="Times New Roman" w:cs="Times New Roman"/>
          <w:sz w:val="24"/>
          <w:szCs w:val="24"/>
          <w:lang w:val="en-US" w:eastAsia="en-US"/>
        </w:rPr>
        <w:fldChar w:fldCharType="end"/>
      </w:r>
      <w:r w:rsidRPr="00A207CD">
        <w:rPr>
          <w:rFonts w:ascii="Times New Roman" w:eastAsiaTheme="minorHAnsi" w:hAnsi="Times New Roman" w:cs="Times New Roman"/>
          <w:sz w:val="24"/>
          <w:szCs w:val="24"/>
          <w:lang w:val="en-US" w:eastAsia="en-US"/>
        </w:rPr>
        <w:t xml:space="preserve"> (2001). </w:t>
      </w:r>
      <w:r w:rsidRPr="00A207CD">
        <w:rPr>
          <w:rFonts w:ascii="Times New Roman" w:eastAsiaTheme="minorHAnsi" w:hAnsi="Times New Roman" w:cs="Times New Roman"/>
          <w:i/>
          <w:iCs/>
          <w:sz w:val="24"/>
          <w:szCs w:val="24"/>
          <w:lang w:val="en-US" w:eastAsia="en-US"/>
        </w:rPr>
        <w:t xml:space="preserve">Discourse and Discrimination: </w:t>
      </w:r>
      <w:proofErr w:type="spellStart"/>
      <w:r w:rsidRPr="00A207CD">
        <w:rPr>
          <w:rFonts w:ascii="Times New Roman" w:eastAsiaTheme="minorHAnsi" w:hAnsi="Times New Roman" w:cs="Times New Roman"/>
          <w:i/>
          <w:iCs/>
          <w:sz w:val="24"/>
          <w:szCs w:val="24"/>
          <w:lang w:val="en-US" w:eastAsia="en-US"/>
        </w:rPr>
        <w:t>Rhetorics</w:t>
      </w:r>
      <w:proofErr w:type="spellEnd"/>
      <w:r w:rsidRPr="00A207CD">
        <w:rPr>
          <w:rFonts w:ascii="Times New Roman" w:eastAsiaTheme="minorHAnsi" w:hAnsi="Times New Roman" w:cs="Times New Roman"/>
          <w:i/>
          <w:iCs/>
          <w:sz w:val="24"/>
          <w:szCs w:val="24"/>
          <w:lang w:val="en-US" w:eastAsia="en-US"/>
        </w:rPr>
        <w:t xml:space="preserve"> of Racism and Antisemitism</w:t>
      </w:r>
      <w:r w:rsidRPr="00ED5972">
        <w:rPr>
          <w:rFonts w:ascii="Times New Roman" w:eastAsiaTheme="minorHAnsi" w:hAnsi="Times New Roman" w:cs="Times New Roman"/>
          <w:sz w:val="24"/>
          <w:szCs w:val="24"/>
          <w:lang w:val="en-US" w:eastAsia="en-US"/>
        </w:rPr>
        <w:t>. London and New York: Routledge.</w:t>
      </w:r>
    </w:p>
    <w:p w14:paraId="62C3FCF1"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BE1DA1">
        <w:rPr>
          <w:rFonts w:ascii="Times New Roman" w:eastAsia="Times New Roman" w:hAnsi="Times New Roman" w:cs="Times New Roman"/>
          <w:sz w:val="24"/>
          <w:szCs w:val="24"/>
          <w:bdr w:val="none" w:sz="0" w:space="0" w:color="auto" w:frame="1"/>
        </w:rPr>
        <w:t>Remling</w:t>
      </w:r>
      <w:proofErr w:type="spellEnd"/>
      <w:r w:rsidRPr="00020287">
        <w:rPr>
          <w:rFonts w:ascii="Times New Roman" w:eastAsia="Times New Roman" w:hAnsi="Times New Roman" w:cs="Times New Roman"/>
          <w:sz w:val="24"/>
          <w:szCs w:val="24"/>
          <w:bdr w:val="none" w:sz="0" w:space="0" w:color="auto" w:frame="1"/>
        </w:rPr>
        <w:t xml:space="preserve">, Elise (2018), “Depoliticizing Adaptation: A Critical Analysis of EU Climate Adaptation Policy”, </w:t>
      </w:r>
      <w:r w:rsidRPr="00A44750">
        <w:rPr>
          <w:rFonts w:ascii="Times New Roman" w:eastAsia="Times New Roman" w:hAnsi="Times New Roman" w:cs="Times New Roman"/>
          <w:i/>
          <w:sz w:val="24"/>
          <w:szCs w:val="24"/>
          <w:bdr w:val="none" w:sz="0" w:space="0" w:color="auto" w:frame="1"/>
        </w:rPr>
        <w:t>Environmental Politics</w:t>
      </w:r>
      <w:r w:rsidRPr="00A44750">
        <w:rPr>
          <w:rFonts w:ascii="Times New Roman" w:eastAsia="Times New Roman" w:hAnsi="Times New Roman" w:cs="Times New Roman"/>
          <w:sz w:val="24"/>
          <w:szCs w:val="24"/>
          <w:bdr w:val="none" w:sz="0" w:space="0" w:color="auto" w:frame="1"/>
        </w:rPr>
        <w:t xml:space="preserve">, 27:3, 477-497. </w:t>
      </w:r>
    </w:p>
    <w:p w14:paraId="13CB9AFF"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rPr>
      </w:pPr>
      <w:r w:rsidRPr="00814262">
        <w:rPr>
          <w:rFonts w:ascii="Times New Roman" w:eastAsia="Times New Roman" w:hAnsi="Times New Roman" w:cs="Times New Roman"/>
          <w:sz w:val="24"/>
          <w:szCs w:val="24"/>
          <w:lang w:val="en-US"/>
        </w:rPr>
        <w:t xml:space="preserve">Russo, Katherine E. (2018), </w:t>
      </w:r>
      <w:r w:rsidRPr="00814262">
        <w:rPr>
          <w:rFonts w:ascii="Times New Roman" w:eastAsia="Times New Roman" w:hAnsi="Times New Roman" w:cs="Times New Roman"/>
          <w:i/>
          <w:sz w:val="24"/>
          <w:szCs w:val="24"/>
          <w:lang w:val="en-US"/>
        </w:rPr>
        <w:t xml:space="preserve">The Evaluation of Risk in Institutional and Newspaper Discourse: The Case of Climate </w:t>
      </w:r>
      <w:r w:rsidRPr="00814262">
        <w:rPr>
          <w:rFonts w:ascii="Times New Roman" w:eastAsia="Times New Roman" w:hAnsi="Times New Roman" w:cs="Times New Roman"/>
          <w:i/>
          <w:sz w:val="24"/>
          <w:szCs w:val="24"/>
        </w:rPr>
        <w:t>Change and Migration</w:t>
      </w:r>
      <w:r w:rsidRPr="00814262">
        <w:rPr>
          <w:rFonts w:ascii="Times New Roman" w:eastAsia="Times New Roman" w:hAnsi="Times New Roman" w:cs="Times New Roman"/>
          <w:sz w:val="24"/>
          <w:szCs w:val="24"/>
        </w:rPr>
        <w:t>, ESI, Napoli, 2018.</w:t>
      </w:r>
    </w:p>
    <w:p w14:paraId="0505DC44"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i/>
          <w:sz w:val="24"/>
          <w:szCs w:val="24"/>
          <w:bdr w:val="none" w:sz="0" w:space="0" w:color="auto" w:frame="1"/>
        </w:rPr>
      </w:pPr>
      <w:r w:rsidRPr="00814262">
        <w:rPr>
          <w:rFonts w:ascii="Times New Roman" w:eastAsia="Times New Roman" w:hAnsi="Times New Roman" w:cs="Times New Roman"/>
          <w:sz w:val="24"/>
          <w:szCs w:val="24"/>
          <w:bdr w:val="none" w:sz="0" w:space="0" w:color="auto" w:frame="1"/>
        </w:rPr>
        <w:t xml:space="preserve">Selin, Henrik, and Stacy D. </w:t>
      </w:r>
      <w:proofErr w:type="spellStart"/>
      <w:r w:rsidRPr="00814262">
        <w:rPr>
          <w:rFonts w:ascii="Times New Roman" w:eastAsia="Times New Roman" w:hAnsi="Times New Roman" w:cs="Times New Roman"/>
          <w:sz w:val="24"/>
          <w:szCs w:val="24"/>
          <w:bdr w:val="none" w:sz="0" w:space="0" w:color="auto" w:frame="1"/>
        </w:rPr>
        <w:t>VanDeveer</w:t>
      </w:r>
      <w:proofErr w:type="spellEnd"/>
      <w:r w:rsidRPr="00814262">
        <w:rPr>
          <w:rFonts w:ascii="Times New Roman" w:eastAsia="Times New Roman" w:hAnsi="Times New Roman" w:cs="Times New Roman"/>
          <w:sz w:val="24"/>
          <w:szCs w:val="24"/>
          <w:bdr w:val="none" w:sz="0" w:space="0" w:color="auto" w:frame="1"/>
        </w:rPr>
        <w:t xml:space="preserve">, “Broader, Deeper and Greener: European Union Environmental Politics, Policies, and Outcomes”, </w:t>
      </w:r>
      <w:r w:rsidRPr="00814262">
        <w:rPr>
          <w:rFonts w:ascii="Times New Roman" w:eastAsia="Times New Roman" w:hAnsi="Times New Roman" w:cs="Times New Roman"/>
          <w:i/>
          <w:sz w:val="24"/>
          <w:szCs w:val="24"/>
          <w:bdr w:val="none" w:sz="0" w:space="0" w:color="auto" w:frame="1"/>
        </w:rPr>
        <w:t xml:space="preserve">Annual Review of Environment and Resources, </w:t>
      </w:r>
      <w:r w:rsidRPr="00814262">
        <w:rPr>
          <w:rFonts w:ascii="Times New Roman" w:eastAsia="Times New Roman" w:hAnsi="Times New Roman" w:cs="Times New Roman"/>
          <w:sz w:val="24"/>
          <w:szCs w:val="24"/>
          <w:bdr w:val="none" w:sz="0" w:space="0" w:color="auto" w:frame="1"/>
        </w:rPr>
        <w:t>2015, 40: 309-335.</w:t>
      </w:r>
      <w:r w:rsidRPr="00814262">
        <w:rPr>
          <w:rFonts w:ascii="Times New Roman" w:eastAsia="Times New Roman" w:hAnsi="Times New Roman" w:cs="Times New Roman"/>
          <w:i/>
          <w:sz w:val="24"/>
          <w:szCs w:val="24"/>
          <w:bdr w:val="none" w:sz="0" w:space="0" w:color="auto" w:frame="1"/>
        </w:rPr>
        <w:t xml:space="preserve"> </w:t>
      </w:r>
    </w:p>
    <w:p w14:paraId="4CDFD5F3"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proofErr w:type="spellStart"/>
      <w:r w:rsidRPr="00814262">
        <w:rPr>
          <w:rFonts w:ascii="Times New Roman" w:eastAsia="Times New Roman" w:hAnsi="Times New Roman" w:cs="Times New Roman"/>
          <w:sz w:val="24"/>
          <w:szCs w:val="24"/>
          <w:bdr w:val="none" w:sz="0" w:space="0" w:color="auto" w:frame="1"/>
        </w:rPr>
        <w:t>Semino</w:t>
      </w:r>
      <w:proofErr w:type="spellEnd"/>
      <w:r w:rsidRPr="00814262">
        <w:rPr>
          <w:rFonts w:ascii="Times New Roman" w:eastAsia="Times New Roman" w:hAnsi="Times New Roman" w:cs="Times New Roman"/>
          <w:sz w:val="24"/>
          <w:szCs w:val="24"/>
          <w:bdr w:val="none" w:sz="0" w:space="0" w:color="auto" w:frame="1"/>
        </w:rPr>
        <w:t xml:space="preserve">, Elena (2011), “The adaptation of metaphors across genres”, </w:t>
      </w:r>
      <w:r w:rsidRPr="00814262">
        <w:rPr>
          <w:rFonts w:ascii="Times New Roman" w:eastAsia="Times New Roman" w:hAnsi="Times New Roman" w:cs="Times New Roman"/>
          <w:i/>
          <w:sz w:val="24"/>
          <w:szCs w:val="24"/>
          <w:bdr w:val="none" w:sz="0" w:space="0" w:color="auto" w:frame="1"/>
        </w:rPr>
        <w:t>Review of Cognitive Linguistics</w:t>
      </w:r>
      <w:r w:rsidRPr="00814262">
        <w:rPr>
          <w:rFonts w:ascii="Times New Roman" w:eastAsia="Times New Roman" w:hAnsi="Times New Roman" w:cs="Times New Roman"/>
          <w:sz w:val="24"/>
          <w:szCs w:val="24"/>
          <w:bdr w:val="none" w:sz="0" w:space="0" w:color="auto" w:frame="1"/>
        </w:rPr>
        <w:t xml:space="preserve">, 9:1, Amsterdam/Philadelphia, John </w:t>
      </w:r>
      <w:proofErr w:type="spellStart"/>
      <w:r w:rsidRPr="00814262">
        <w:rPr>
          <w:rFonts w:ascii="Times New Roman" w:eastAsia="Times New Roman" w:hAnsi="Times New Roman" w:cs="Times New Roman"/>
          <w:sz w:val="24"/>
          <w:szCs w:val="24"/>
          <w:bdr w:val="none" w:sz="0" w:space="0" w:color="auto" w:frame="1"/>
        </w:rPr>
        <w:t>Benjamins</w:t>
      </w:r>
      <w:proofErr w:type="spellEnd"/>
      <w:r w:rsidRPr="00814262">
        <w:rPr>
          <w:rFonts w:ascii="Times New Roman" w:eastAsia="Times New Roman" w:hAnsi="Times New Roman" w:cs="Times New Roman"/>
          <w:sz w:val="24"/>
          <w:szCs w:val="24"/>
          <w:bdr w:val="none" w:sz="0" w:space="0" w:color="auto" w:frame="1"/>
        </w:rPr>
        <w:t xml:space="preserve"> Publishing, 130–152.</w:t>
      </w:r>
    </w:p>
    <w:p w14:paraId="421F9C6D" w14:textId="77777777" w:rsidR="00A31CC3" w:rsidRPr="0081426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814262">
        <w:rPr>
          <w:rFonts w:ascii="Times New Roman" w:eastAsiaTheme="minorHAnsi" w:hAnsi="Times New Roman" w:cs="Times New Roman"/>
          <w:sz w:val="24"/>
          <w:szCs w:val="24"/>
          <w:lang w:val="en-US" w:eastAsia="en-US"/>
        </w:rPr>
        <w:t xml:space="preserve">Smart, Graham 2011. “Argumentation across Web-based Organization Discourses: The Case of Climate Change”. In Chris N. </w:t>
      </w:r>
      <w:proofErr w:type="spellStart"/>
      <w:r w:rsidRPr="00814262">
        <w:rPr>
          <w:rFonts w:ascii="Times New Roman" w:eastAsiaTheme="minorHAnsi" w:hAnsi="Times New Roman" w:cs="Times New Roman"/>
          <w:sz w:val="24"/>
          <w:szCs w:val="24"/>
          <w:lang w:val="en-US" w:eastAsia="en-US"/>
        </w:rPr>
        <w:t>Candlin</w:t>
      </w:r>
      <w:proofErr w:type="spellEnd"/>
      <w:r w:rsidRPr="00814262">
        <w:rPr>
          <w:rFonts w:ascii="Times New Roman" w:eastAsiaTheme="minorHAnsi" w:hAnsi="Times New Roman" w:cs="Times New Roman"/>
          <w:sz w:val="24"/>
          <w:szCs w:val="24"/>
          <w:lang w:val="en-US" w:eastAsia="en-US"/>
        </w:rPr>
        <w:t xml:space="preserve"> and Srikant Sarangi (Eds.), </w:t>
      </w:r>
      <w:r w:rsidRPr="00814262">
        <w:rPr>
          <w:rFonts w:ascii="Times New Roman" w:eastAsiaTheme="minorHAnsi" w:hAnsi="Times New Roman" w:cs="Times New Roman"/>
          <w:i/>
          <w:iCs/>
          <w:sz w:val="24"/>
          <w:szCs w:val="24"/>
          <w:lang w:val="en-US" w:eastAsia="en-US"/>
        </w:rPr>
        <w:t xml:space="preserve">Handbook of </w:t>
      </w:r>
      <w:r w:rsidRPr="00814262">
        <w:rPr>
          <w:rFonts w:ascii="Times New Roman" w:eastAsiaTheme="minorHAnsi" w:hAnsi="Times New Roman" w:cs="Times New Roman"/>
          <w:i/>
          <w:iCs/>
          <w:sz w:val="24"/>
          <w:szCs w:val="24"/>
          <w:lang w:val="en-US" w:eastAsia="en-US"/>
        </w:rPr>
        <w:lastRenderedPageBreak/>
        <w:t>Communication in Organizations and Professions</w:t>
      </w:r>
      <w:r w:rsidRPr="00814262">
        <w:rPr>
          <w:rFonts w:ascii="Times New Roman" w:eastAsiaTheme="minorHAnsi" w:hAnsi="Times New Roman" w:cs="Times New Roman"/>
          <w:i/>
          <w:iCs/>
          <w:sz w:val="24"/>
          <w:szCs w:val="24"/>
          <w:lang w:eastAsia="en-US"/>
        </w:rPr>
        <w:t xml:space="preserve">, </w:t>
      </w:r>
      <w:r w:rsidRPr="00814262">
        <w:rPr>
          <w:rFonts w:ascii="Times New Roman" w:eastAsiaTheme="minorHAnsi" w:hAnsi="Times New Roman" w:cs="Times New Roman"/>
          <w:sz w:val="24"/>
          <w:szCs w:val="24"/>
          <w:lang w:val="en-US" w:eastAsia="en-US"/>
        </w:rPr>
        <w:t>Berlin and Boston, De Gruyter Mouton, 363–386.</w:t>
      </w:r>
    </w:p>
    <w:p w14:paraId="51C0D092" w14:textId="77777777" w:rsidR="00A31CC3" w:rsidRPr="00814262" w:rsidRDefault="00A31CC3" w:rsidP="00A31CC3">
      <w:pPr>
        <w:tabs>
          <w:tab w:val="left" w:pos="470"/>
        </w:tabs>
        <w:ind w:left="773" w:hangingChars="322" w:hanging="773"/>
        <w:contextualSpacing/>
        <w:mirrorIndents/>
        <w:jc w:val="both"/>
        <w:rPr>
          <w:rFonts w:ascii="Times New Roman" w:eastAsia="Palatino" w:hAnsi="Times New Roman" w:cs="Times New Roman"/>
          <w:sz w:val="24"/>
          <w:szCs w:val="24"/>
          <w:lang w:val="en-US" w:eastAsia="en-US"/>
        </w:rPr>
      </w:pPr>
      <w:r w:rsidRPr="00814262">
        <w:rPr>
          <w:rFonts w:ascii="Times New Roman" w:eastAsiaTheme="minorHAnsi" w:hAnsi="Times New Roman" w:cs="Times New Roman"/>
          <w:bCs/>
          <w:sz w:val="24"/>
          <w:szCs w:val="24"/>
          <w:lang w:eastAsia="en-US"/>
        </w:rPr>
        <w:t>Strife, Susan (2010), “Reflecting on environmental education: Where is our place in the green</w:t>
      </w:r>
      <w:r w:rsidRPr="00814262">
        <w:rPr>
          <w:rFonts w:ascii="Times New Roman" w:eastAsia="Palatino" w:hAnsi="Times New Roman" w:cs="Times New Roman"/>
          <w:sz w:val="24"/>
          <w:szCs w:val="24"/>
          <w:lang w:val="en-US" w:eastAsia="en-US"/>
        </w:rPr>
        <w:t xml:space="preserve"> </w:t>
      </w:r>
      <w:r w:rsidRPr="00814262">
        <w:rPr>
          <w:rFonts w:ascii="Times New Roman" w:eastAsiaTheme="minorHAnsi" w:hAnsi="Times New Roman" w:cs="Times New Roman"/>
          <w:bCs/>
          <w:sz w:val="24"/>
          <w:szCs w:val="24"/>
          <w:lang w:eastAsia="en-US"/>
        </w:rPr>
        <w:t xml:space="preserve">movement?”, </w:t>
      </w:r>
      <w:r w:rsidRPr="00814262">
        <w:rPr>
          <w:rFonts w:ascii="Times New Roman" w:eastAsiaTheme="minorHAnsi" w:hAnsi="Times New Roman" w:cs="Times New Roman"/>
          <w:bCs/>
          <w:i/>
          <w:iCs/>
          <w:sz w:val="24"/>
          <w:szCs w:val="24"/>
          <w:lang w:eastAsia="en-US"/>
        </w:rPr>
        <w:t xml:space="preserve">Journal of Environmental Education, </w:t>
      </w:r>
      <w:r w:rsidRPr="00814262">
        <w:rPr>
          <w:rFonts w:ascii="Times New Roman" w:eastAsiaTheme="minorHAnsi" w:hAnsi="Times New Roman" w:cs="Times New Roman"/>
          <w:bCs/>
          <w:iCs/>
          <w:sz w:val="24"/>
          <w:szCs w:val="24"/>
          <w:lang w:eastAsia="en-US"/>
        </w:rPr>
        <w:t>41</w:t>
      </w:r>
      <w:r w:rsidRPr="00814262">
        <w:rPr>
          <w:rFonts w:ascii="Times New Roman" w:eastAsiaTheme="minorHAnsi" w:hAnsi="Times New Roman" w:cs="Times New Roman"/>
          <w:bCs/>
          <w:sz w:val="24"/>
          <w:szCs w:val="24"/>
          <w:lang w:eastAsia="en-US"/>
        </w:rPr>
        <w:t>(3), 179-191.</w:t>
      </w:r>
    </w:p>
    <w:p w14:paraId="6D0E5C1C" w14:textId="77777777" w:rsidR="00A31CC3" w:rsidRPr="00814262" w:rsidRDefault="00A31CC3" w:rsidP="00A31CC3">
      <w:pPr>
        <w:tabs>
          <w:tab w:val="left" w:pos="470"/>
        </w:tabs>
        <w:ind w:left="773" w:hangingChars="322" w:hanging="773"/>
        <w:contextualSpacing/>
        <w:mirrorIndents/>
        <w:jc w:val="both"/>
        <w:rPr>
          <w:rFonts w:ascii="Times New Roman" w:eastAsia="Palatino" w:hAnsi="Times New Roman" w:cs="Times New Roman"/>
          <w:sz w:val="24"/>
          <w:szCs w:val="24"/>
          <w:lang w:val="en-US" w:eastAsia="en-US"/>
        </w:rPr>
      </w:pPr>
      <w:r w:rsidRPr="00814262">
        <w:rPr>
          <w:rFonts w:ascii="Times New Roman" w:eastAsiaTheme="minorHAnsi" w:hAnsi="Times New Roman" w:cs="Times New Roman"/>
          <w:kern w:val="24"/>
          <w:sz w:val="24"/>
          <w:szCs w:val="24"/>
          <w:lang w:val="en-US" w:eastAsia="en-US"/>
        </w:rPr>
        <w:t>Swales, John M. 2004</w:t>
      </w:r>
      <w:r w:rsidRPr="00814262">
        <w:rPr>
          <w:rFonts w:ascii="Times New Roman" w:eastAsiaTheme="minorHAnsi" w:hAnsi="Times New Roman" w:cs="Times New Roman"/>
          <w:kern w:val="24"/>
          <w:sz w:val="24"/>
          <w:szCs w:val="24"/>
          <w:lang w:eastAsia="en-US"/>
        </w:rPr>
        <w:t xml:space="preserve">. </w:t>
      </w:r>
      <w:r w:rsidRPr="00814262">
        <w:rPr>
          <w:rFonts w:ascii="Times New Roman" w:eastAsiaTheme="minorHAnsi" w:hAnsi="Times New Roman" w:cs="Times New Roman"/>
          <w:i/>
          <w:iCs/>
          <w:kern w:val="24"/>
          <w:sz w:val="24"/>
          <w:szCs w:val="24"/>
          <w:lang w:val="en-US" w:eastAsia="en-US"/>
        </w:rPr>
        <w:t xml:space="preserve">Research Genres: </w:t>
      </w:r>
      <w:r w:rsidRPr="00814262">
        <w:rPr>
          <w:rFonts w:ascii="Times New Roman" w:eastAsiaTheme="minorHAnsi" w:hAnsi="Times New Roman" w:cs="Times New Roman"/>
          <w:i/>
          <w:iCs/>
          <w:kern w:val="24"/>
          <w:sz w:val="24"/>
          <w:szCs w:val="24"/>
          <w:lang w:eastAsia="en-US"/>
        </w:rPr>
        <w:t>E</w:t>
      </w:r>
      <w:proofErr w:type="spellStart"/>
      <w:r w:rsidRPr="00814262">
        <w:rPr>
          <w:rFonts w:ascii="Times New Roman" w:eastAsiaTheme="minorHAnsi" w:hAnsi="Times New Roman" w:cs="Times New Roman"/>
          <w:i/>
          <w:iCs/>
          <w:kern w:val="24"/>
          <w:sz w:val="24"/>
          <w:szCs w:val="24"/>
          <w:lang w:val="en-US" w:eastAsia="en-US"/>
        </w:rPr>
        <w:t>xplorations</w:t>
      </w:r>
      <w:proofErr w:type="spellEnd"/>
      <w:r w:rsidRPr="00814262">
        <w:rPr>
          <w:rFonts w:ascii="Times New Roman" w:eastAsiaTheme="minorHAnsi" w:hAnsi="Times New Roman" w:cs="Times New Roman"/>
          <w:i/>
          <w:iCs/>
          <w:kern w:val="24"/>
          <w:sz w:val="24"/>
          <w:szCs w:val="24"/>
          <w:lang w:val="en-US" w:eastAsia="en-US"/>
        </w:rPr>
        <w:t xml:space="preserve"> and Applications</w:t>
      </w:r>
      <w:r w:rsidRPr="00814262">
        <w:rPr>
          <w:rFonts w:ascii="Times New Roman" w:eastAsiaTheme="minorHAnsi" w:hAnsi="Times New Roman" w:cs="Times New Roman"/>
          <w:i/>
          <w:iCs/>
          <w:kern w:val="24"/>
          <w:sz w:val="24"/>
          <w:szCs w:val="24"/>
          <w:lang w:eastAsia="en-US"/>
        </w:rPr>
        <w:t xml:space="preserve">. </w:t>
      </w:r>
      <w:r w:rsidRPr="00814262">
        <w:rPr>
          <w:rFonts w:ascii="Times New Roman" w:eastAsiaTheme="minorHAnsi" w:hAnsi="Times New Roman" w:cs="Times New Roman"/>
          <w:kern w:val="24"/>
          <w:sz w:val="24"/>
          <w:szCs w:val="24"/>
          <w:lang w:val="en-US" w:eastAsia="en-US"/>
        </w:rPr>
        <w:t>Cambridge</w:t>
      </w:r>
      <w:r w:rsidRPr="00814262">
        <w:rPr>
          <w:rFonts w:ascii="Times New Roman" w:eastAsiaTheme="minorHAnsi" w:hAnsi="Times New Roman" w:cs="Times New Roman"/>
          <w:kern w:val="24"/>
          <w:sz w:val="24"/>
          <w:szCs w:val="24"/>
          <w:lang w:eastAsia="en-US"/>
        </w:rPr>
        <w:t xml:space="preserve">: </w:t>
      </w:r>
      <w:r w:rsidRPr="00814262">
        <w:rPr>
          <w:rFonts w:ascii="Times New Roman" w:eastAsiaTheme="minorHAnsi" w:hAnsi="Times New Roman" w:cs="Times New Roman"/>
          <w:kern w:val="24"/>
          <w:sz w:val="24"/>
          <w:szCs w:val="24"/>
          <w:lang w:val="en-US" w:eastAsia="en-US"/>
        </w:rPr>
        <w:t xml:space="preserve">Cambridge University Press. </w:t>
      </w:r>
    </w:p>
    <w:p w14:paraId="5AF08DAA" w14:textId="77777777" w:rsidR="00A31CC3" w:rsidRPr="00FA2912" w:rsidRDefault="00A31CC3" w:rsidP="00A31CC3">
      <w:pPr>
        <w:ind w:left="773" w:hangingChars="322" w:hanging="773"/>
        <w:contextualSpacing/>
        <w:mirrorIndents/>
        <w:jc w:val="both"/>
        <w:rPr>
          <w:rFonts w:ascii="Times New Roman" w:eastAsia="Palatino" w:hAnsi="Times New Roman" w:cs="Times New Roman"/>
          <w:kern w:val="24"/>
          <w:sz w:val="24"/>
          <w:szCs w:val="24"/>
          <w:lang w:val="en-US" w:eastAsia="en-US"/>
        </w:rPr>
      </w:pPr>
      <w:r w:rsidRPr="00814262">
        <w:rPr>
          <w:rFonts w:ascii="Times New Roman" w:eastAsiaTheme="minorHAnsi" w:hAnsi="Times New Roman" w:cs="Times New Roman"/>
          <w:sz w:val="24"/>
          <w:szCs w:val="24"/>
          <w:lang w:val="en-US" w:eastAsia="en-US"/>
        </w:rPr>
        <w:t>van Dijk</w:t>
      </w:r>
      <w:r w:rsidRPr="00A207CD">
        <w:rPr>
          <w:rFonts w:ascii="Times New Roman" w:eastAsiaTheme="minorHAnsi" w:hAnsi="Times New Roman" w:cs="Times New Roman"/>
          <w:sz w:val="24"/>
          <w:szCs w:val="24"/>
          <w:lang w:val="en-US" w:eastAsia="en-US"/>
        </w:rPr>
        <w:fldChar w:fldCharType="begin"/>
      </w:r>
      <w:r w:rsidRPr="00A207CD">
        <w:rPr>
          <w:rFonts w:ascii="Times New Roman" w:eastAsiaTheme="minorHAnsi" w:hAnsi="Times New Roman" w:cs="Times New Roman"/>
          <w:sz w:val="24"/>
          <w:szCs w:val="24"/>
          <w:lang w:eastAsia="en-US"/>
        </w:rPr>
        <w:instrText xml:space="preserve"> XE "van Dijk, Teun" </w:instrText>
      </w:r>
      <w:r w:rsidRPr="00A207CD">
        <w:rPr>
          <w:rFonts w:ascii="Times New Roman" w:eastAsiaTheme="minorHAnsi" w:hAnsi="Times New Roman" w:cs="Times New Roman"/>
          <w:sz w:val="24"/>
          <w:szCs w:val="24"/>
          <w:lang w:val="en-US" w:eastAsia="en-US"/>
        </w:rPr>
        <w:fldChar w:fldCharType="end"/>
      </w:r>
      <w:r w:rsidRPr="00A207CD">
        <w:rPr>
          <w:rFonts w:ascii="Times New Roman" w:eastAsiaTheme="minorHAnsi" w:hAnsi="Times New Roman" w:cs="Times New Roman"/>
          <w:sz w:val="24"/>
          <w:szCs w:val="24"/>
          <w:lang w:val="en-US" w:eastAsia="en-US"/>
        </w:rPr>
        <w:t xml:space="preserve">, Teun A. 2009, </w:t>
      </w:r>
      <w:r w:rsidRPr="00A207CD">
        <w:rPr>
          <w:rFonts w:ascii="Times New Roman" w:eastAsiaTheme="minorHAnsi" w:hAnsi="Times New Roman" w:cs="Times New Roman"/>
          <w:i/>
          <w:iCs/>
          <w:sz w:val="24"/>
          <w:szCs w:val="24"/>
          <w:lang w:val="en-US" w:eastAsia="en-US"/>
        </w:rPr>
        <w:t>Society and Discourse: How Social Contexts Influence Text and Talk</w:t>
      </w:r>
      <w:r w:rsidRPr="00FA2912">
        <w:rPr>
          <w:rFonts w:ascii="Times New Roman" w:eastAsiaTheme="minorHAnsi" w:hAnsi="Times New Roman" w:cs="Times New Roman"/>
          <w:sz w:val="24"/>
          <w:szCs w:val="24"/>
          <w:lang w:val="en-US" w:eastAsia="en-US"/>
        </w:rPr>
        <w:t>, Cambridge, Cambridge University Press.</w:t>
      </w:r>
    </w:p>
    <w:p w14:paraId="59779763" w14:textId="77777777" w:rsidR="00A31CC3" w:rsidRPr="00FA291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bdr w:val="none" w:sz="0" w:space="0" w:color="auto" w:frame="1"/>
        </w:rPr>
      </w:pPr>
      <w:r w:rsidRPr="00FA2912">
        <w:rPr>
          <w:rFonts w:ascii="Times New Roman" w:eastAsia="Times New Roman" w:hAnsi="Times New Roman" w:cs="Times New Roman"/>
          <w:sz w:val="24"/>
          <w:szCs w:val="24"/>
          <w:bdr w:val="none" w:sz="0" w:space="0" w:color="auto" w:frame="1"/>
        </w:rPr>
        <w:t xml:space="preserve">Van Leeuwen, Theo (2007), Legitimation in discourse and communication, Vol 1, Issue 1, </w:t>
      </w:r>
      <w:r w:rsidRPr="00FA2912">
        <w:rPr>
          <w:rFonts w:ascii="Times New Roman" w:eastAsia="Times New Roman" w:hAnsi="Times New Roman" w:cs="Times New Roman"/>
          <w:i/>
          <w:sz w:val="24"/>
          <w:szCs w:val="24"/>
          <w:bdr w:val="none" w:sz="0" w:space="0" w:color="auto" w:frame="1"/>
        </w:rPr>
        <w:t>Discourse and Communication</w:t>
      </w:r>
      <w:r w:rsidRPr="00FA2912">
        <w:rPr>
          <w:rFonts w:ascii="Times New Roman" w:eastAsia="Times New Roman" w:hAnsi="Times New Roman" w:cs="Times New Roman"/>
          <w:sz w:val="24"/>
          <w:szCs w:val="24"/>
          <w:bdr w:val="none" w:sz="0" w:space="0" w:color="auto" w:frame="1"/>
        </w:rPr>
        <w:t xml:space="preserve"> 91-11.</w:t>
      </w:r>
    </w:p>
    <w:p w14:paraId="5BF788A1" w14:textId="77777777" w:rsidR="00A31CC3" w:rsidRPr="00FA2912" w:rsidRDefault="00A31CC3" w:rsidP="00A31CC3">
      <w:pPr>
        <w:shd w:val="clear" w:color="auto" w:fill="FFFFFF"/>
        <w:spacing w:after="0"/>
        <w:ind w:left="773" w:hangingChars="322" w:hanging="773"/>
        <w:contextualSpacing/>
        <w:mirrorIndents/>
        <w:jc w:val="both"/>
        <w:rPr>
          <w:rFonts w:ascii="Times New Roman" w:eastAsia="Times New Roman" w:hAnsi="Times New Roman" w:cs="Times New Roman"/>
          <w:sz w:val="24"/>
          <w:szCs w:val="24"/>
        </w:rPr>
      </w:pPr>
      <w:proofErr w:type="spellStart"/>
      <w:r w:rsidRPr="00ED5972">
        <w:rPr>
          <w:rFonts w:ascii="Times New Roman" w:eastAsia="Times New Roman" w:hAnsi="Times New Roman" w:cs="Times New Roman"/>
          <w:sz w:val="24"/>
          <w:szCs w:val="24"/>
          <w:bdr w:val="none" w:sz="0" w:space="0" w:color="auto" w:frame="1"/>
        </w:rPr>
        <w:t>Wodak</w:t>
      </w:r>
      <w:proofErr w:type="spellEnd"/>
      <w:r w:rsidRPr="00ED5972">
        <w:rPr>
          <w:rFonts w:ascii="Times New Roman" w:eastAsia="Times New Roman" w:hAnsi="Times New Roman" w:cs="Times New Roman"/>
          <w:sz w:val="24"/>
          <w:szCs w:val="24"/>
          <w:bdr w:val="none" w:sz="0" w:space="0" w:color="auto" w:frame="1"/>
        </w:rPr>
        <w:t xml:space="preserve">, Ruth, and Gilbert Weiss (2004), “Visions, ideologies and utopias in the discursive construction of European identities: organising, representing and legitimising Europe.” in </w:t>
      </w:r>
      <w:proofErr w:type="spellStart"/>
      <w:r w:rsidRPr="00ED5972">
        <w:rPr>
          <w:rFonts w:ascii="Times New Roman" w:eastAsia="Times New Roman" w:hAnsi="Times New Roman" w:cs="Times New Roman"/>
          <w:sz w:val="24"/>
          <w:szCs w:val="24"/>
          <w:bdr w:val="none" w:sz="0" w:space="0" w:color="auto" w:frame="1"/>
        </w:rPr>
        <w:t>MartinPütz</w:t>
      </w:r>
      <w:proofErr w:type="spellEnd"/>
      <w:r w:rsidRPr="00ED5972">
        <w:rPr>
          <w:rFonts w:ascii="Times New Roman" w:eastAsia="Times New Roman" w:hAnsi="Times New Roman" w:cs="Times New Roman"/>
          <w:sz w:val="24"/>
          <w:szCs w:val="24"/>
          <w:bdr w:val="none" w:sz="0" w:space="0" w:color="auto" w:frame="1"/>
        </w:rPr>
        <w:t xml:space="preserve">, JoAnne </w:t>
      </w:r>
      <w:proofErr w:type="spellStart"/>
      <w:r w:rsidRPr="00ED5972">
        <w:rPr>
          <w:rFonts w:ascii="Times New Roman" w:eastAsia="Times New Roman" w:hAnsi="Times New Roman" w:cs="Times New Roman"/>
          <w:sz w:val="24"/>
          <w:szCs w:val="24"/>
          <w:bdr w:val="none" w:sz="0" w:space="0" w:color="auto" w:frame="1"/>
        </w:rPr>
        <w:t>Aerselaer</w:t>
      </w:r>
      <w:proofErr w:type="spellEnd"/>
      <w:r w:rsidRPr="00ED5972">
        <w:rPr>
          <w:rFonts w:ascii="Times New Roman" w:eastAsia="Times New Roman" w:hAnsi="Times New Roman" w:cs="Times New Roman"/>
          <w:sz w:val="24"/>
          <w:szCs w:val="24"/>
          <w:bdr w:val="none" w:sz="0" w:space="0" w:color="auto" w:frame="1"/>
        </w:rPr>
        <w:t xml:space="preserve">, and </w:t>
      </w:r>
      <w:r w:rsidRPr="00FA2912">
        <w:rPr>
          <w:rFonts w:ascii="Times New Roman" w:eastAsia="Times New Roman" w:hAnsi="Times New Roman" w:cs="Times New Roman"/>
          <w:sz w:val="24"/>
          <w:szCs w:val="24"/>
          <w:bdr w:val="none" w:sz="0" w:space="0" w:color="auto" w:frame="1"/>
        </w:rPr>
        <w:t>Teun A</w:t>
      </w:r>
      <w:r w:rsidRPr="00A207CD">
        <w:rPr>
          <w:rFonts w:ascii="Times New Roman" w:eastAsia="Times New Roman" w:hAnsi="Times New Roman" w:cs="Times New Roman"/>
          <w:sz w:val="24"/>
          <w:szCs w:val="24"/>
          <w:bdr w:val="none" w:sz="0" w:space="0" w:color="auto" w:frame="1"/>
        </w:rPr>
        <w:t xml:space="preserve">. Van Dijk (eds), </w:t>
      </w:r>
      <w:r w:rsidRPr="00A207CD">
        <w:rPr>
          <w:rFonts w:ascii="Times New Roman" w:eastAsia="Times New Roman" w:hAnsi="Times New Roman" w:cs="Times New Roman"/>
          <w:i/>
          <w:sz w:val="24"/>
          <w:szCs w:val="24"/>
          <w:bdr w:val="none" w:sz="0" w:space="0" w:color="auto" w:frame="1"/>
        </w:rPr>
        <w:t>Communicating Ideologies: Multidisciplinary Perspectives on Language, Discourse, and Social Practice</w:t>
      </w:r>
      <w:r w:rsidRPr="00FA2912">
        <w:rPr>
          <w:rFonts w:ascii="Times New Roman" w:eastAsia="Times New Roman" w:hAnsi="Times New Roman" w:cs="Times New Roman"/>
          <w:sz w:val="24"/>
          <w:szCs w:val="24"/>
          <w:bdr w:val="none" w:sz="0" w:space="0" w:color="auto" w:frame="1"/>
        </w:rPr>
        <w:t>, Frankfurt am Main, Peter Lang, 225-252.</w:t>
      </w:r>
    </w:p>
    <w:p w14:paraId="42417642" w14:textId="77777777" w:rsidR="00A31CC3" w:rsidRPr="00FA2912" w:rsidRDefault="00A31CC3" w:rsidP="00A31CC3">
      <w:pPr>
        <w:widowControl w:val="0"/>
        <w:ind w:left="773" w:hangingChars="322" w:hanging="773"/>
        <w:contextualSpacing/>
        <w:mirrorIndents/>
        <w:jc w:val="both"/>
        <w:rPr>
          <w:rFonts w:ascii="Times New Roman" w:eastAsia="Palatino" w:hAnsi="Times New Roman" w:cs="Times New Roman"/>
          <w:sz w:val="24"/>
          <w:szCs w:val="24"/>
          <w:lang w:val="en-US" w:eastAsia="en-US"/>
        </w:rPr>
      </w:pPr>
      <w:proofErr w:type="spellStart"/>
      <w:r w:rsidRPr="00FA2912">
        <w:rPr>
          <w:rFonts w:ascii="Times New Roman" w:eastAsiaTheme="minorHAnsi" w:hAnsi="Times New Roman" w:cs="Times New Roman"/>
          <w:sz w:val="24"/>
          <w:szCs w:val="24"/>
          <w:lang w:eastAsia="en-US"/>
        </w:rPr>
        <w:t>Wodak</w:t>
      </w:r>
      <w:proofErr w:type="spellEnd"/>
      <w:r w:rsidRPr="00A207CD">
        <w:rPr>
          <w:rFonts w:ascii="Times New Roman" w:eastAsiaTheme="minorHAnsi" w:hAnsi="Times New Roman" w:cs="Times New Roman"/>
          <w:sz w:val="24"/>
          <w:szCs w:val="24"/>
          <w:lang w:eastAsia="en-US"/>
        </w:rPr>
        <w:fldChar w:fldCharType="begin"/>
      </w:r>
      <w:r w:rsidRPr="00A207CD">
        <w:rPr>
          <w:rFonts w:ascii="Times New Roman" w:eastAsiaTheme="minorHAnsi" w:hAnsi="Times New Roman" w:cs="Times New Roman"/>
          <w:sz w:val="24"/>
          <w:szCs w:val="24"/>
          <w:lang w:eastAsia="en-US"/>
        </w:rPr>
        <w:instrText xml:space="preserve"> XE "</w:instrText>
      </w:r>
      <w:r w:rsidRPr="00A207CD">
        <w:rPr>
          <w:rFonts w:ascii="Times New Roman" w:eastAsiaTheme="minorHAnsi" w:hAnsi="Times New Roman" w:cs="Times New Roman"/>
          <w:sz w:val="24"/>
          <w:szCs w:val="24"/>
          <w:lang w:val="en-US" w:eastAsia="en-US"/>
        </w:rPr>
        <w:instrText>Wodak, Ruth</w:instrText>
      </w:r>
      <w:r w:rsidRPr="00A207CD">
        <w:rPr>
          <w:rFonts w:ascii="Times New Roman" w:eastAsiaTheme="minorHAnsi" w:hAnsi="Times New Roman" w:cs="Times New Roman"/>
          <w:sz w:val="24"/>
          <w:szCs w:val="24"/>
          <w:lang w:eastAsia="en-US"/>
        </w:rPr>
        <w:instrText xml:space="preserve">" </w:instrText>
      </w:r>
      <w:r w:rsidRPr="00A207CD">
        <w:rPr>
          <w:rFonts w:ascii="Times New Roman" w:eastAsiaTheme="minorHAnsi" w:hAnsi="Times New Roman" w:cs="Times New Roman"/>
          <w:sz w:val="24"/>
          <w:szCs w:val="24"/>
          <w:lang w:eastAsia="en-US"/>
        </w:rPr>
        <w:fldChar w:fldCharType="end"/>
      </w:r>
      <w:r w:rsidRPr="00A207CD">
        <w:rPr>
          <w:rFonts w:ascii="Times New Roman" w:eastAsiaTheme="minorHAnsi" w:hAnsi="Times New Roman" w:cs="Times New Roman"/>
          <w:sz w:val="24"/>
          <w:szCs w:val="24"/>
          <w:lang w:eastAsia="en-US"/>
        </w:rPr>
        <w:t xml:space="preserve">, Ruth, de </w:t>
      </w:r>
      <w:proofErr w:type="spellStart"/>
      <w:r w:rsidRPr="00A207CD">
        <w:rPr>
          <w:rFonts w:ascii="Times New Roman" w:eastAsiaTheme="minorHAnsi" w:hAnsi="Times New Roman" w:cs="Times New Roman"/>
          <w:sz w:val="24"/>
          <w:szCs w:val="24"/>
          <w:lang w:eastAsia="en-US"/>
        </w:rPr>
        <w:t>Cillia</w:t>
      </w:r>
      <w:proofErr w:type="spellEnd"/>
      <w:r w:rsidRPr="00A207CD">
        <w:rPr>
          <w:rFonts w:ascii="Times New Roman" w:eastAsiaTheme="minorHAnsi" w:hAnsi="Times New Roman" w:cs="Times New Roman"/>
          <w:sz w:val="24"/>
          <w:szCs w:val="24"/>
          <w:lang w:eastAsia="en-US"/>
        </w:rPr>
        <w:t xml:space="preserve">, </w:t>
      </w:r>
      <w:r w:rsidRPr="00FA2912">
        <w:rPr>
          <w:rFonts w:ascii="Times New Roman" w:eastAsiaTheme="minorHAnsi" w:hAnsi="Times New Roman" w:cs="Times New Roman"/>
          <w:sz w:val="24"/>
          <w:szCs w:val="24"/>
          <w:lang w:eastAsia="en-US"/>
        </w:rPr>
        <w:t>Rudolf,</w:t>
      </w:r>
      <w:r w:rsidRPr="00A207CD">
        <w:rPr>
          <w:rFonts w:ascii="Times New Roman" w:eastAsiaTheme="minorHAnsi" w:hAnsi="Times New Roman" w:cs="Times New Roman"/>
          <w:sz w:val="24"/>
          <w:szCs w:val="24"/>
          <w:lang w:eastAsia="en-US"/>
        </w:rPr>
        <w:t xml:space="preserve"> and Martin </w:t>
      </w:r>
      <w:proofErr w:type="spellStart"/>
      <w:r w:rsidRPr="00A207CD">
        <w:rPr>
          <w:rFonts w:ascii="Times New Roman" w:eastAsiaTheme="minorHAnsi" w:hAnsi="Times New Roman" w:cs="Times New Roman"/>
          <w:sz w:val="24"/>
          <w:szCs w:val="24"/>
          <w:lang w:eastAsia="en-US"/>
        </w:rPr>
        <w:t>Reisigl</w:t>
      </w:r>
      <w:proofErr w:type="spellEnd"/>
      <w:r w:rsidRPr="00A207CD">
        <w:rPr>
          <w:rFonts w:ascii="Times New Roman" w:eastAsiaTheme="minorHAnsi" w:hAnsi="Times New Roman" w:cs="Times New Roman"/>
          <w:sz w:val="24"/>
          <w:szCs w:val="24"/>
          <w:lang w:eastAsia="en-US"/>
        </w:rPr>
        <w:t xml:space="preserve"> (1999), “The Discursive Construction of National Identity”, </w:t>
      </w:r>
      <w:r w:rsidRPr="00FA2912">
        <w:rPr>
          <w:rFonts w:ascii="Times New Roman" w:eastAsiaTheme="minorHAnsi" w:hAnsi="Times New Roman" w:cs="Times New Roman"/>
          <w:i/>
          <w:sz w:val="24"/>
          <w:szCs w:val="24"/>
          <w:lang w:eastAsia="en-US"/>
        </w:rPr>
        <w:t>Discourse and Communication</w:t>
      </w:r>
      <w:r w:rsidRPr="00FA2912">
        <w:rPr>
          <w:rFonts w:ascii="Times New Roman" w:eastAsiaTheme="minorHAnsi" w:hAnsi="Times New Roman" w:cs="Times New Roman"/>
          <w:sz w:val="24"/>
          <w:szCs w:val="24"/>
          <w:lang w:eastAsia="en-US"/>
        </w:rPr>
        <w:t xml:space="preserve">, </w:t>
      </w:r>
      <w:r w:rsidRPr="00FA2912">
        <w:rPr>
          <w:rFonts w:ascii="Times New Roman" w:eastAsia="Times New Roman" w:hAnsi="Times New Roman" w:cs="Times New Roman"/>
          <w:sz w:val="24"/>
          <w:szCs w:val="24"/>
          <w:bdr w:val="none" w:sz="0" w:space="0" w:color="auto" w:frame="1"/>
        </w:rPr>
        <w:t>10: 2: 149-173.</w:t>
      </w:r>
    </w:p>
    <w:p w14:paraId="64629FC9" w14:textId="77777777" w:rsidR="00A31CC3" w:rsidRPr="00020287" w:rsidRDefault="00A31CC3" w:rsidP="00A31CC3">
      <w:pPr>
        <w:ind w:left="773" w:hangingChars="322" w:hanging="773"/>
        <w:contextualSpacing/>
        <w:mirrorIndents/>
        <w:jc w:val="both"/>
        <w:rPr>
          <w:rFonts w:ascii="Times New Roman" w:eastAsiaTheme="minorHAnsi" w:hAnsi="Times New Roman" w:cs="Times New Roman"/>
          <w:sz w:val="24"/>
          <w:szCs w:val="24"/>
          <w:lang w:eastAsia="en-US"/>
        </w:rPr>
      </w:pPr>
      <w:r w:rsidRPr="00FA2912">
        <w:rPr>
          <w:rFonts w:ascii="Times New Roman" w:eastAsiaTheme="minorHAnsi" w:hAnsi="Times New Roman" w:cs="Times New Roman"/>
          <w:sz w:val="24"/>
          <w:szCs w:val="24"/>
          <w:lang w:eastAsia="en-US"/>
        </w:rPr>
        <w:t>Wurzel, </w:t>
      </w:r>
      <w:proofErr w:type="spellStart"/>
      <w:r w:rsidRPr="00FA2912">
        <w:rPr>
          <w:rFonts w:ascii="Times New Roman" w:eastAsiaTheme="minorHAnsi" w:hAnsi="Times New Roman" w:cs="Times New Roman"/>
          <w:sz w:val="24"/>
          <w:szCs w:val="24"/>
          <w:lang w:eastAsia="en-US"/>
        </w:rPr>
        <w:t>Rudiger</w:t>
      </w:r>
      <w:proofErr w:type="spellEnd"/>
      <w:r w:rsidRPr="00FA2912">
        <w:rPr>
          <w:rFonts w:ascii="Times New Roman" w:eastAsiaTheme="minorHAnsi" w:hAnsi="Times New Roman" w:cs="Times New Roman"/>
          <w:sz w:val="24"/>
          <w:szCs w:val="24"/>
          <w:lang w:eastAsia="en-US"/>
        </w:rPr>
        <w:t xml:space="preserve"> K.W., James, Connelly, and Duncan, </w:t>
      </w:r>
      <w:proofErr w:type="spellStart"/>
      <w:r w:rsidRPr="00FA2912">
        <w:rPr>
          <w:rFonts w:ascii="Times New Roman" w:eastAsiaTheme="minorHAnsi" w:hAnsi="Times New Roman" w:cs="Times New Roman"/>
          <w:sz w:val="24"/>
          <w:szCs w:val="24"/>
          <w:lang w:eastAsia="en-US"/>
        </w:rPr>
        <w:t>Liefferink</w:t>
      </w:r>
      <w:proofErr w:type="spellEnd"/>
      <w:r w:rsidRPr="00FA2912">
        <w:rPr>
          <w:rFonts w:ascii="Times New Roman" w:eastAsiaTheme="minorHAnsi" w:hAnsi="Times New Roman" w:cs="Times New Roman"/>
          <w:sz w:val="24"/>
          <w:szCs w:val="24"/>
          <w:lang w:eastAsia="en-US"/>
        </w:rPr>
        <w:t>, Eds. (2017). </w:t>
      </w:r>
      <w:r w:rsidRPr="00FA2912">
        <w:rPr>
          <w:rFonts w:ascii="Times New Roman" w:eastAsiaTheme="minorHAnsi" w:hAnsi="Times New Roman" w:cs="Times New Roman"/>
          <w:i/>
          <w:iCs/>
          <w:sz w:val="24"/>
          <w:szCs w:val="24"/>
          <w:lang w:eastAsia="en-US"/>
        </w:rPr>
        <w:t>The European Union in international climate change politics</w:t>
      </w:r>
      <w:r w:rsidRPr="00ED5972">
        <w:rPr>
          <w:rFonts w:ascii="Times New Roman" w:eastAsiaTheme="minorHAnsi" w:hAnsi="Times New Roman" w:cs="Times New Roman"/>
          <w:sz w:val="24"/>
          <w:szCs w:val="24"/>
          <w:lang w:eastAsia="en-US"/>
        </w:rPr>
        <w:t>. London: Routledge</w:t>
      </w:r>
    </w:p>
    <w:p w14:paraId="3698CBBF" w14:textId="77777777" w:rsidR="00A31CC3" w:rsidRPr="00A207CD" w:rsidRDefault="00A31CC3" w:rsidP="00A31CC3">
      <w:pPr>
        <w:jc w:val="both"/>
        <w:rPr>
          <w:rFonts w:ascii="Times New Roman" w:eastAsia="Times New Roman" w:hAnsi="Times New Roman" w:cs="Times New Roman"/>
          <w:bCs/>
          <w:sz w:val="24"/>
          <w:szCs w:val="24"/>
          <w:lang w:val="en-US"/>
        </w:rPr>
      </w:pPr>
    </w:p>
    <w:p w14:paraId="0CA2256C" w14:textId="77777777" w:rsidR="00EA7F05" w:rsidRDefault="00EA7F05"/>
    <w:sectPr w:rsidR="00EA7F05" w:rsidSect="00D11D4A">
      <w:footerReference w:type="default" r:id="rId8"/>
      <w:pgSz w:w="11906" w:h="16838"/>
      <w:pgMar w:top="1418" w:right="1134" w:bottom="1134" w:left="1134"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B5227B" w14:textId="77777777" w:rsidR="00A31CC3" w:rsidRDefault="00A31CC3" w:rsidP="00A31CC3">
      <w:pPr>
        <w:spacing w:after="0" w:line="240" w:lineRule="auto"/>
      </w:pPr>
      <w:r>
        <w:separator/>
      </w:r>
    </w:p>
  </w:endnote>
  <w:endnote w:type="continuationSeparator" w:id="0">
    <w:p w14:paraId="1BB3880A" w14:textId="77777777" w:rsidR="00A31CC3" w:rsidRDefault="00A31CC3" w:rsidP="00A31C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ntium">
    <w:altName w:val="Noto Serif"/>
    <w:charset w:val="00"/>
    <w:family w:val="auto"/>
    <w:pitch w:val="variable"/>
    <w:sig w:usb0="00000001" w:usb1="00000003" w:usb2="00000000" w:usb3="00000000" w:csb0="0000001B"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ヒラギノ角ゴ Pro W3">
    <w:altName w:val="MS Gothic"/>
    <w:panose1 w:val="00000000000000000000"/>
    <w:charset w:val="80"/>
    <w:family w:val="auto"/>
    <w:notTrueType/>
    <w:pitch w:val="variable"/>
    <w:sig w:usb0="00000000" w:usb1="08070000" w:usb2="00000010" w:usb3="00000000" w:csb0="00020000" w:csb1="00000000"/>
  </w:font>
  <w:font w:name="Palatino">
    <w:altName w:val="Book Antiqua"/>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0458402"/>
      <w:docPartObj>
        <w:docPartGallery w:val="Page Numbers (Bottom of Page)"/>
        <w:docPartUnique/>
      </w:docPartObj>
    </w:sdtPr>
    <w:sdtEndPr/>
    <w:sdtContent>
      <w:p w14:paraId="2BB603E3" w14:textId="77777777" w:rsidR="00B90DBA" w:rsidRDefault="002663F7">
        <w:pPr>
          <w:pStyle w:val="Footer"/>
          <w:jc w:val="right"/>
        </w:pPr>
        <w:r>
          <w:fldChar w:fldCharType="begin"/>
        </w:r>
        <w:r>
          <w:instrText>PAGE   \* MERGEFORMAT</w:instrText>
        </w:r>
        <w:r>
          <w:fldChar w:fldCharType="separate"/>
        </w:r>
        <w:r>
          <w:rPr>
            <w:lang w:val="it-IT"/>
          </w:rPr>
          <w:t>2</w:t>
        </w:r>
        <w:r>
          <w:fldChar w:fldCharType="end"/>
        </w:r>
      </w:p>
    </w:sdtContent>
  </w:sdt>
  <w:p w14:paraId="00BFE161" w14:textId="77777777" w:rsidR="00B90DBA" w:rsidRDefault="006925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12935" w14:textId="77777777" w:rsidR="00A31CC3" w:rsidRDefault="00A31CC3" w:rsidP="00A31CC3">
      <w:pPr>
        <w:spacing w:after="0" w:line="240" w:lineRule="auto"/>
      </w:pPr>
      <w:r>
        <w:separator/>
      </w:r>
    </w:p>
  </w:footnote>
  <w:footnote w:type="continuationSeparator" w:id="0">
    <w:p w14:paraId="21847807" w14:textId="77777777" w:rsidR="00A31CC3" w:rsidRDefault="00A31CC3" w:rsidP="00A31CC3">
      <w:pPr>
        <w:spacing w:after="0" w:line="240" w:lineRule="auto"/>
      </w:pPr>
      <w:r>
        <w:continuationSeparator/>
      </w:r>
    </w:p>
  </w:footnote>
  <w:footnote w:id="1">
    <w:p w14:paraId="1ECD1D2E" w14:textId="77777777" w:rsidR="00A31CC3" w:rsidRPr="00536148" w:rsidRDefault="00A31CC3" w:rsidP="00A31CC3">
      <w:pPr>
        <w:pStyle w:val="FootnoteText"/>
      </w:pPr>
      <w:r>
        <w:rPr>
          <w:rStyle w:val="FootnoteReference"/>
        </w:rPr>
        <w:footnoteRef/>
      </w:r>
      <w:r>
        <w:t xml:space="preserve"> Although this chapter is the product of continuous co-operative research and planning, Cinzia Bevitori is responsible for parts 3 and 5, and Katherine E. Russo is responsible for parts 2 and 4.</w:t>
      </w:r>
    </w:p>
  </w:footnote>
  <w:footnote w:id="2">
    <w:p w14:paraId="3DE5296E" w14:textId="77777777" w:rsidR="00A31CC3" w:rsidRPr="003135A8" w:rsidRDefault="00A31CC3" w:rsidP="00A31CC3">
      <w:pPr>
        <w:pStyle w:val="FootnoteText"/>
        <w:rPr>
          <w:bCs/>
        </w:rPr>
      </w:pPr>
      <w:r>
        <w:rPr>
          <w:rStyle w:val="FootnoteReference"/>
        </w:rPr>
        <w:footnoteRef/>
      </w:r>
      <w:r>
        <w:t xml:space="preserve"> </w:t>
      </w:r>
      <w:r w:rsidRPr="003135A8">
        <w:rPr>
          <w:bCs/>
        </w:rPr>
        <w:t>https://www.europarl.europa.eu/news/en/press-room/20200615IPR81230/covid-19-crisis-is-a-potential-geopolitical-game-changer-warn-meps [accessed June 2020]</w:t>
      </w:r>
    </w:p>
    <w:p w14:paraId="1B7331E3" w14:textId="77777777" w:rsidR="00A31CC3" w:rsidRPr="003135A8" w:rsidRDefault="00A31CC3" w:rsidP="00A31CC3">
      <w:pPr>
        <w:pStyle w:val="FootnoteText"/>
      </w:pPr>
    </w:p>
  </w:footnote>
  <w:footnote w:id="3">
    <w:p w14:paraId="2D4D8B89" w14:textId="77777777" w:rsidR="00A31CC3" w:rsidRPr="00413391" w:rsidRDefault="00A31CC3" w:rsidP="00A31CC3">
      <w:pPr>
        <w:pStyle w:val="FootnoteText"/>
        <w:rPr>
          <w:rFonts w:ascii="Times New Roman" w:hAnsi="Times New Roman" w:cs="Times New Roman"/>
          <w:lang w:val="en-US"/>
        </w:rPr>
      </w:pPr>
      <w:r w:rsidRPr="00413391">
        <w:rPr>
          <w:rStyle w:val="FootnoteReference"/>
          <w:rFonts w:ascii="Times New Roman" w:hAnsi="Times New Roman" w:cs="Times New Roman"/>
        </w:rPr>
        <w:footnoteRef/>
      </w:r>
      <w:r w:rsidRPr="00413391">
        <w:rPr>
          <w:rFonts w:ascii="Times New Roman" w:hAnsi="Times New Roman" w:cs="Times New Roman"/>
        </w:rPr>
        <w:t xml:space="preserve"> </w:t>
      </w:r>
      <w:r w:rsidRPr="00413391">
        <w:rPr>
          <w:rFonts w:ascii="Times New Roman" w:hAnsi="Times New Roman" w:cs="Times New Roman"/>
          <w:lang w:val="en-US"/>
        </w:rPr>
        <w:t xml:space="preserve">The Kyoto Protocol was </w:t>
      </w:r>
      <w:r>
        <w:rPr>
          <w:rFonts w:ascii="Times New Roman" w:hAnsi="Times New Roman" w:cs="Times New Roman"/>
          <w:lang w:val="en-US"/>
        </w:rPr>
        <w:t xml:space="preserve">adopted in 1997 but it was </w:t>
      </w:r>
      <w:r w:rsidRPr="00413391">
        <w:rPr>
          <w:rFonts w:ascii="Times New Roman" w:hAnsi="Times New Roman" w:cs="Times New Roman"/>
          <w:lang w:val="en-US"/>
        </w:rPr>
        <w:t>ratified only in 2005 after a very long process of negotiations.</w:t>
      </w:r>
    </w:p>
  </w:footnote>
  <w:footnote w:id="4">
    <w:p w14:paraId="12EED7D8" w14:textId="77777777" w:rsidR="00A31CC3" w:rsidRPr="001D0C5F" w:rsidRDefault="00A31CC3" w:rsidP="00A31CC3">
      <w:pPr>
        <w:pStyle w:val="FootnoteText"/>
        <w:rPr>
          <w:lang w:val="en-US"/>
        </w:rPr>
      </w:pPr>
      <w:r w:rsidRPr="00413391">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rPr>
        <w:t xml:space="preserve">Available at: </w:t>
      </w:r>
      <w:hyperlink w:history="1"/>
      <w:r w:rsidRPr="00321BA1">
        <w:rPr>
          <w:rFonts w:ascii="Times New Roman" w:eastAsia="Times New Roman" w:hAnsi="Times New Roman" w:cs="Times New Roman"/>
        </w:rPr>
        <w:t>https://ec.europa.eu/commission/presscorner/</w:t>
      </w:r>
      <w:r>
        <w:rPr>
          <w:rFonts w:ascii="Times New Roman" w:eastAsia="Times New Roman" w:hAnsi="Times New Roman" w:cs="Times New Roman"/>
        </w:rPr>
        <w:t xml:space="preserve"> (Last accessed January 2021)</w:t>
      </w:r>
    </w:p>
  </w:footnote>
  <w:footnote w:id="5">
    <w:p w14:paraId="6FDB4179" w14:textId="77777777" w:rsidR="00A31CC3" w:rsidRPr="007D4F0B" w:rsidRDefault="00A31CC3" w:rsidP="00A31CC3">
      <w:pPr>
        <w:pStyle w:val="Heading3"/>
        <w:shd w:val="clear" w:color="auto" w:fill="FFFFFF"/>
        <w:spacing w:before="0" w:after="0"/>
        <w:jc w:val="both"/>
        <w:rPr>
          <w:rFonts w:ascii="Times New Roman" w:eastAsia="Times New Roman" w:hAnsi="Times New Roman" w:cs="Times New Roman"/>
          <w:b w:val="0"/>
          <w:sz w:val="20"/>
          <w:szCs w:val="20"/>
        </w:rPr>
      </w:pPr>
      <w:r w:rsidRPr="007D4F0B">
        <w:rPr>
          <w:rStyle w:val="FootnoteReference"/>
          <w:rFonts w:ascii="Times New Roman" w:hAnsi="Times New Roman" w:cs="Times New Roman"/>
        </w:rPr>
        <w:footnoteRef/>
      </w:r>
      <w:r w:rsidRPr="007D4F0B">
        <w:rPr>
          <w:rFonts w:ascii="Times New Roman" w:hAnsi="Times New Roman" w:cs="Times New Roman"/>
          <w:sz w:val="20"/>
          <w:szCs w:val="20"/>
        </w:rPr>
        <w:t xml:space="preserve"> </w:t>
      </w:r>
      <w:r w:rsidRPr="007D4F0B">
        <w:rPr>
          <w:rFonts w:ascii="Times New Roman" w:eastAsia="Times New Roman" w:hAnsi="Times New Roman" w:cs="Times New Roman"/>
          <w:b w:val="0"/>
          <w:sz w:val="20"/>
          <w:szCs w:val="20"/>
        </w:rPr>
        <w:t>The Intergovernmental Panel on Climate Change (hereafter IPCC) is the United Nations body for assessing the science related to climate change.</w:t>
      </w:r>
      <w:r w:rsidRPr="007D4F0B">
        <w:rPr>
          <w:rFonts w:ascii="Times New Roman" w:hAnsi="Times New Roman" w:cs="Times New Roman"/>
          <w:sz w:val="20"/>
          <w:szCs w:val="20"/>
        </w:rPr>
        <w:t xml:space="preserve"> </w:t>
      </w:r>
      <w:r w:rsidRPr="007D4F0B">
        <w:rPr>
          <w:rFonts w:ascii="Times New Roman" w:eastAsia="Times New Roman" w:hAnsi="Times New Roman" w:cs="Times New Roman"/>
          <w:b w:val="0"/>
          <w:sz w:val="20"/>
          <w:szCs w:val="20"/>
        </w:rPr>
        <w:t>The objective of the IPCC is to provide governments at all levels with scientific reports that they can use to develop climate policies and as a key input for international climate change negotiations.</w:t>
      </w:r>
    </w:p>
  </w:footnote>
  <w:footnote w:id="6">
    <w:p w14:paraId="496BAE26" w14:textId="77777777" w:rsidR="00A31CC3" w:rsidRPr="007D4F0B" w:rsidRDefault="00A31CC3" w:rsidP="00A31CC3">
      <w:pPr>
        <w:pStyle w:val="FootnoteText"/>
        <w:jc w:val="both"/>
        <w:rPr>
          <w:rFonts w:ascii="Times New Roman" w:hAnsi="Times New Roman" w:cs="Times New Roman"/>
          <w:color w:val="FF0000"/>
        </w:rPr>
      </w:pPr>
      <w:r w:rsidRPr="007D4F0B">
        <w:rPr>
          <w:rStyle w:val="FootnoteReference"/>
          <w:rFonts w:ascii="Times New Roman" w:hAnsi="Times New Roman" w:cs="Times New Roman"/>
        </w:rPr>
        <w:footnoteRef/>
      </w:r>
      <w:r w:rsidRPr="007D4F0B">
        <w:rPr>
          <w:rFonts w:ascii="Times New Roman" w:hAnsi="Times New Roman" w:cs="Times New Roman"/>
        </w:rPr>
        <w:t xml:space="preserve"> The Lancet Commission on Health and Climate Change was formed in 2015 to map the impacts and policy responses to climate change in order to ensure the highest attainable standards of health for populations worldwide. The Commission is multidisciplinary and international in nature, with strong collaboration between 24 academic</w:t>
      </w:r>
      <w:r>
        <w:rPr>
          <w:rFonts w:ascii="Times New Roman" w:hAnsi="Times New Roman" w:cs="Times New Roman"/>
        </w:rPr>
        <w:t xml:space="preserve"> </w:t>
      </w:r>
      <w:r w:rsidRPr="007D4F0B">
        <w:rPr>
          <w:rFonts w:ascii="Times New Roman" w:hAnsi="Times New Roman" w:cs="Times New Roman"/>
        </w:rPr>
        <w:t xml:space="preserve">institutions and intergovernmental organisations. In 2017, the Commission published the </w:t>
      </w:r>
      <w:r w:rsidRPr="007D4F0B">
        <w:rPr>
          <w:rFonts w:ascii="Times New Roman" w:hAnsi="Times New Roman" w:cs="Times New Roman"/>
          <w:i/>
        </w:rPr>
        <w:t>Lancet Countdown Report</w:t>
      </w:r>
      <w:r w:rsidRPr="007D4F0B">
        <w:rPr>
          <w:rFonts w:ascii="Times New Roman" w:hAnsi="Times New Roman" w:cs="Times New Roman"/>
        </w:rPr>
        <w:t xml:space="preserve"> which established 40 indicators to track progress on health and climate change (the publication was updated in 2020).</w:t>
      </w:r>
    </w:p>
  </w:footnote>
  <w:footnote w:id="7">
    <w:p w14:paraId="4304D6EC" w14:textId="77777777" w:rsidR="00A31CC3" w:rsidRPr="000E287B" w:rsidRDefault="00A31CC3" w:rsidP="00A31CC3">
      <w:pPr>
        <w:pStyle w:val="FootnoteText"/>
        <w:rPr>
          <w:rFonts w:ascii="Times New Roman" w:hAnsi="Times New Roman" w:cs="Times New Roman"/>
          <w:lang w:val="en-US"/>
        </w:rPr>
      </w:pPr>
      <w:r w:rsidRPr="000E287B">
        <w:rPr>
          <w:rStyle w:val="FootnoteReference"/>
          <w:rFonts w:ascii="Times New Roman" w:hAnsi="Times New Roman" w:cs="Times New Roman"/>
        </w:rPr>
        <w:footnoteRef/>
      </w:r>
      <w:r w:rsidRPr="000E287B">
        <w:rPr>
          <w:rFonts w:ascii="Times New Roman" w:hAnsi="Times New Roman" w:cs="Times New Roman"/>
        </w:rPr>
        <w:t xml:space="preserve"> </w:t>
      </w:r>
      <w:r>
        <w:rPr>
          <w:rFonts w:ascii="Times New Roman" w:eastAsia="Times New Roman" w:hAnsi="Times New Roman" w:cs="Times New Roman"/>
          <w:bCs/>
        </w:rPr>
        <w:t xml:space="preserve">Word forms include the noun </w:t>
      </w:r>
      <w:r w:rsidRPr="000E287B">
        <w:rPr>
          <w:rFonts w:ascii="Times New Roman" w:eastAsia="Times New Roman" w:hAnsi="Times New Roman" w:cs="Times New Roman"/>
          <w:bCs/>
          <w:i/>
          <w:iCs/>
        </w:rPr>
        <w:t xml:space="preserve">health, </w:t>
      </w:r>
      <w:r w:rsidRPr="000E287B">
        <w:rPr>
          <w:rFonts w:ascii="Times New Roman" w:eastAsia="Times New Roman" w:hAnsi="Times New Roman" w:cs="Times New Roman"/>
          <w:bCs/>
        </w:rPr>
        <w:t>and the adjectives</w:t>
      </w:r>
      <w:r>
        <w:rPr>
          <w:rFonts w:ascii="Times New Roman" w:eastAsia="Times New Roman" w:hAnsi="Times New Roman" w:cs="Times New Roman"/>
          <w:bCs/>
          <w:i/>
          <w:iCs/>
        </w:rPr>
        <w:t xml:space="preserve"> </w:t>
      </w:r>
      <w:r w:rsidRPr="000E287B">
        <w:rPr>
          <w:rFonts w:ascii="Times New Roman" w:eastAsia="Times New Roman" w:hAnsi="Times New Roman" w:cs="Times New Roman"/>
          <w:bCs/>
          <w:i/>
          <w:iCs/>
        </w:rPr>
        <w:t xml:space="preserve">healthy </w:t>
      </w:r>
      <w:r w:rsidRPr="000E287B">
        <w:rPr>
          <w:rFonts w:ascii="Times New Roman" w:eastAsia="Times New Roman" w:hAnsi="Times New Roman" w:cs="Times New Roman"/>
          <w:bCs/>
        </w:rPr>
        <w:t>and</w:t>
      </w:r>
      <w:r w:rsidRPr="000E287B">
        <w:rPr>
          <w:rFonts w:ascii="Times New Roman" w:eastAsia="Times New Roman" w:hAnsi="Times New Roman" w:cs="Times New Roman"/>
          <w:bCs/>
          <w:i/>
          <w:iCs/>
        </w:rPr>
        <w:t xml:space="preserve"> healthie</w:t>
      </w:r>
      <w:r>
        <w:rPr>
          <w:rFonts w:ascii="Times New Roman" w:eastAsia="Times New Roman" w:hAnsi="Times New Roman" w:cs="Times New Roman"/>
          <w:bCs/>
          <w:i/>
          <w:iCs/>
        </w:rPr>
        <w:t>r,</w:t>
      </w:r>
      <w:r w:rsidRPr="000E287B">
        <w:rPr>
          <w:rFonts w:ascii="Times New Roman" w:hAnsi="Times New Roman" w:cs="Times New Roman"/>
        </w:rPr>
        <w:t xml:space="preserve"> The </w:t>
      </w:r>
      <w:r>
        <w:rPr>
          <w:rFonts w:ascii="Times New Roman" w:hAnsi="Times New Roman" w:cs="Times New Roman"/>
        </w:rPr>
        <w:t xml:space="preserve">very </w:t>
      </w:r>
      <w:r w:rsidRPr="000E287B">
        <w:rPr>
          <w:rFonts w:ascii="Times New Roman" w:hAnsi="Times New Roman" w:cs="Times New Roman"/>
        </w:rPr>
        <w:t>few occurrences</w:t>
      </w:r>
      <w:r w:rsidRPr="000E287B">
        <w:rPr>
          <w:rFonts w:ascii="Times New Roman" w:hAnsi="Times New Roman" w:cs="Times New Roman"/>
          <w:lang w:val="en-US"/>
        </w:rPr>
        <w:t xml:space="preserve"> of </w:t>
      </w:r>
      <w:r w:rsidRPr="000E287B">
        <w:rPr>
          <w:rFonts w:ascii="Times New Roman" w:hAnsi="Times New Roman" w:cs="Times New Roman"/>
          <w:i/>
          <w:iCs/>
          <w:lang w:val="en-US"/>
        </w:rPr>
        <w:t>healthcare</w:t>
      </w:r>
      <w:r w:rsidRPr="000E287B">
        <w:rPr>
          <w:rFonts w:ascii="Times New Roman" w:hAnsi="Times New Roman" w:cs="Times New Roman"/>
          <w:lang w:val="en-US"/>
        </w:rPr>
        <w:t xml:space="preserve"> are excluded.</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CC3"/>
    <w:rsid w:val="002663F7"/>
    <w:rsid w:val="00692515"/>
    <w:rsid w:val="009C5C11"/>
    <w:rsid w:val="00A31CC3"/>
    <w:rsid w:val="00EA7F0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C8F99"/>
  <w15:chartTrackingRefBased/>
  <w15:docId w15:val="{745F544C-D493-4BF1-A60F-1EB87F78D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1CC3"/>
    <w:pPr>
      <w:spacing w:after="200" w:line="276" w:lineRule="auto"/>
    </w:pPr>
    <w:rPr>
      <w:rFonts w:ascii="Calibri" w:eastAsia="Calibri" w:hAnsi="Calibri" w:cs="Calibri"/>
      <w:lang w:val="en-GB" w:eastAsia="it-IT"/>
    </w:rPr>
  </w:style>
  <w:style w:type="paragraph" w:styleId="Heading1">
    <w:name w:val="heading 1"/>
    <w:basedOn w:val="Normal"/>
    <w:next w:val="Normal"/>
    <w:link w:val="Heading1Char"/>
    <w:uiPriority w:val="9"/>
    <w:qFormat/>
    <w:rsid w:val="00A31CC3"/>
    <w:pPr>
      <w:keepNext/>
      <w:keepLines/>
      <w:spacing w:before="480" w:after="120"/>
      <w:outlineLvl w:val="0"/>
    </w:pPr>
    <w:rPr>
      <w:b/>
      <w:sz w:val="48"/>
      <w:szCs w:val="48"/>
    </w:rPr>
  </w:style>
  <w:style w:type="paragraph" w:styleId="Heading2">
    <w:name w:val="heading 2"/>
    <w:basedOn w:val="Normal"/>
    <w:next w:val="Normal"/>
    <w:link w:val="Heading2Char"/>
    <w:uiPriority w:val="9"/>
    <w:semiHidden/>
    <w:unhideWhenUsed/>
    <w:qFormat/>
    <w:rsid w:val="00A31CC3"/>
    <w:pPr>
      <w:keepNext/>
      <w:keepLines/>
      <w:spacing w:before="360" w:after="80"/>
      <w:outlineLvl w:val="1"/>
    </w:pPr>
    <w:rPr>
      <w:b/>
      <w:sz w:val="36"/>
      <w:szCs w:val="36"/>
    </w:rPr>
  </w:style>
  <w:style w:type="paragraph" w:styleId="Heading3">
    <w:name w:val="heading 3"/>
    <w:basedOn w:val="Normal"/>
    <w:next w:val="Normal"/>
    <w:link w:val="Heading3Char"/>
    <w:uiPriority w:val="9"/>
    <w:unhideWhenUsed/>
    <w:qFormat/>
    <w:rsid w:val="00A31CC3"/>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rsid w:val="00A31CC3"/>
    <w:pPr>
      <w:keepNext/>
      <w:keepLines/>
      <w:spacing w:before="240" w:after="40"/>
      <w:outlineLvl w:val="3"/>
    </w:pPr>
    <w:rPr>
      <w:b/>
      <w:sz w:val="24"/>
      <w:szCs w:val="24"/>
    </w:rPr>
  </w:style>
  <w:style w:type="paragraph" w:styleId="Heading5">
    <w:name w:val="heading 5"/>
    <w:basedOn w:val="Normal"/>
    <w:next w:val="Normal"/>
    <w:link w:val="Heading5Char"/>
    <w:uiPriority w:val="9"/>
    <w:semiHidden/>
    <w:unhideWhenUsed/>
    <w:qFormat/>
    <w:rsid w:val="00A31CC3"/>
    <w:pPr>
      <w:keepNext/>
      <w:keepLines/>
      <w:spacing w:before="220" w:after="40"/>
      <w:outlineLvl w:val="4"/>
    </w:pPr>
    <w:rPr>
      <w:b/>
    </w:rPr>
  </w:style>
  <w:style w:type="paragraph" w:styleId="Heading6">
    <w:name w:val="heading 6"/>
    <w:basedOn w:val="Normal"/>
    <w:next w:val="Normal"/>
    <w:link w:val="Heading6Char"/>
    <w:uiPriority w:val="9"/>
    <w:semiHidden/>
    <w:unhideWhenUsed/>
    <w:qFormat/>
    <w:rsid w:val="00A31CC3"/>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1CC3"/>
    <w:rPr>
      <w:rFonts w:ascii="Calibri" w:eastAsia="Calibri" w:hAnsi="Calibri" w:cs="Calibri"/>
      <w:b/>
      <w:sz w:val="48"/>
      <w:szCs w:val="48"/>
      <w:lang w:val="en-GB" w:eastAsia="it-IT"/>
    </w:rPr>
  </w:style>
  <w:style w:type="character" w:customStyle="1" w:styleId="Heading2Char">
    <w:name w:val="Heading 2 Char"/>
    <w:basedOn w:val="DefaultParagraphFont"/>
    <w:link w:val="Heading2"/>
    <w:uiPriority w:val="9"/>
    <w:semiHidden/>
    <w:rsid w:val="00A31CC3"/>
    <w:rPr>
      <w:rFonts w:ascii="Calibri" w:eastAsia="Calibri" w:hAnsi="Calibri" w:cs="Calibri"/>
      <w:b/>
      <w:sz w:val="36"/>
      <w:szCs w:val="36"/>
      <w:lang w:val="en-GB" w:eastAsia="it-IT"/>
    </w:rPr>
  </w:style>
  <w:style w:type="character" w:customStyle="1" w:styleId="Heading3Char">
    <w:name w:val="Heading 3 Char"/>
    <w:basedOn w:val="DefaultParagraphFont"/>
    <w:link w:val="Heading3"/>
    <w:uiPriority w:val="9"/>
    <w:rsid w:val="00A31CC3"/>
    <w:rPr>
      <w:rFonts w:ascii="Calibri" w:eastAsia="Calibri" w:hAnsi="Calibri" w:cs="Calibri"/>
      <w:b/>
      <w:sz w:val="28"/>
      <w:szCs w:val="28"/>
      <w:lang w:val="en-GB" w:eastAsia="it-IT"/>
    </w:rPr>
  </w:style>
  <w:style w:type="character" w:customStyle="1" w:styleId="Heading4Char">
    <w:name w:val="Heading 4 Char"/>
    <w:basedOn w:val="DefaultParagraphFont"/>
    <w:link w:val="Heading4"/>
    <w:uiPriority w:val="9"/>
    <w:semiHidden/>
    <w:rsid w:val="00A31CC3"/>
    <w:rPr>
      <w:rFonts w:ascii="Calibri" w:eastAsia="Calibri" w:hAnsi="Calibri" w:cs="Calibri"/>
      <w:b/>
      <w:sz w:val="24"/>
      <w:szCs w:val="24"/>
      <w:lang w:val="en-GB" w:eastAsia="it-IT"/>
    </w:rPr>
  </w:style>
  <w:style w:type="character" w:customStyle="1" w:styleId="Heading5Char">
    <w:name w:val="Heading 5 Char"/>
    <w:basedOn w:val="DefaultParagraphFont"/>
    <w:link w:val="Heading5"/>
    <w:uiPriority w:val="9"/>
    <w:semiHidden/>
    <w:rsid w:val="00A31CC3"/>
    <w:rPr>
      <w:rFonts w:ascii="Calibri" w:eastAsia="Calibri" w:hAnsi="Calibri" w:cs="Calibri"/>
      <w:b/>
      <w:lang w:val="en-GB" w:eastAsia="it-IT"/>
    </w:rPr>
  </w:style>
  <w:style w:type="character" w:customStyle="1" w:styleId="Heading6Char">
    <w:name w:val="Heading 6 Char"/>
    <w:basedOn w:val="DefaultParagraphFont"/>
    <w:link w:val="Heading6"/>
    <w:uiPriority w:val="9"/>
    <w:semiHidden/>
    <w:rsid w:val="00A31CC3"/>
    <w:rPr>
      <w:rFonts w:ascii="Calibri" w:eastAsia="Calibri" w:hAnsi="Calibri" w:cs="Calibri"/>
      <w:b/>
      <w:sz w:val="20"/>
      <w:szCs w:val="20"/>
      <w:lang w:val="en-GB" w:eastAsia="it-IT"/>
    </w:rPr>
  </w:style>
  <w:style w:type="table" w:customStyle="1" w:styleId="TableNormal1">
    <w:name w:val="Table Normal1"/>
    <w:rsid w:val="00A31CC3"/>
    <w:pPr>
      <w:spacing w:after="200" w:line="276" w:lineRule="auto"/>
    </w:pPr>
    <w:rPr>
      <w:rFonts w:ascii="Calibri" w:eastAsia="Calibri" w:hAnsi="Calibri" w:cs="Calibri"/>
      <w:lang w:val="en-GB" w:eastAsia="it-IT"/>
    </w:rPr>
    <w:tblPr>
      <w:tblCellMar>
        <w:top w:w="0" w:type="dxa"/>
        <w:left w:w="0" w:type="dxa"/>
        <w:bottom w:w="0" w:type="dxa"/>
        <w:right w:w="0" w:type="dxa"/>
      </w:tblCellMar>
    </w:tblPr>
  </w:style>
  <w:style w:type="paragraph" w:styleId="Title">
    <w:name w:val="Title"/>
    <w:basedOn w:val="Normal"/>
    <w:next w:val="Normal"/>
    <w:link w:val="TitleChar"/>
    <w:uiPriority w:val="10"/>
    <w:qFormat/>
    <w:rsid w:val="00A31CC3"/>
    <w:pPr>
      <w:keepNext/>
      <w:keepLines/>
      <w:spacing w:before="480" w:after="120"/>
    </w:pPr>
    <w:rPr>
      <w:b/>
      <w:sz w:val="72"/>
      <w:szCs w:val="72"/>
    </w:rPr>
  </w:style>
  <w:style w:type="character" w:customStyle="1" w:styleId="TitleChar">
    <w:name w:val="Title Char"/>
    <w:basedOn w:val="DefaultParagraphFont"/>
    <w:link w:val="Title"/>
    <w:uiPriority w:val="10"/>
    <w:rsid w:val="00A31CC3"/>
    <w:rPr>
      <w:rFonts w:ascii="Calibri" w:eastAsia="Calibri" w:hAnsi="Calibri" w:cs="Calibri"/>
      <w:b/>
      <w:sz w:val="72"/>
      <w:szCs w:val="72"/>
      <w:lang w:val="en-GB" w:eastAsia="it-IT"/>
    </w:rPr>
  </w:style>
  <w:style w:type="paragraph" w:styleId="Subtitle">
    <w:name w:val="Subtitle"/>
    <w:basedOn w:val="Normal"/>
    <w:next w:val="Normal"/>
    <w:link w:val="SubtitleChar"/>
    <w:rsid w:val="00A31CC3"/>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rsid w:val="00A31CC3"/>
    <w:rPr>
      <w:rFonts w:ascii="Georgia" w:eastAsia="Georgia" w:hAnsi="Georgia" w:cs="Georgia"/>
      <w:i/>
      <w:color w:val="666666"/>
      <w:sz w:val="48"/>
      <w:szCs w:val="48"/>
      <w:lang w:val="en-GB" w:eastAsia="it-IT"/>
    </w:rPr>
  </w:style>
  <w:style w:type="paragraph" w:styleId="Revision">
    <w:name w:val="Revision"/>
    <w:hidden/>
    <w:uiPriority w:val="99"/>
    <w:semiHidden/>
    <w:rsid w:val="00A31CC3"/>
    <w:pPr>
      <w:spacing w:after="0" w:line="240" w:lineRule="auto"/>
    </w:pPr>
    <w:rPr>
      <w:rFonts w:ascii="Calibri" w:eastAsia="Calibri" w:hAnsi="Calibri" w:cs="Calibri"/>
      <w:lang w:val="en-GB" w:eastAsia="it-IT"/>
    </w:rPr>
  </w:style>
  <w:style w:type="character" w:styleId="Hyperlink">
    <w:name w:val="Hyperlink"/>
    <w:basedOn w:val="DefaultParagraphFont"/>
    <w:uiPriority w:val="99"/>
    <w:unhideWhenUsed/>
    <w:rsid w:val="00A31CC3"/>
    <w:rPr>
      <w:color w:val="0563C1" w:themeColor="hyperlink"/>
      <w:u w:val="single"/>
    </w:rPr>
  </w:style>
  <w:style w:type="character" w:customStyle="1" w:styleId="UnresolvedMention1">
    <w:name w:val="Unresolved Mention1"/>
    <w:basedOn w:val="DefaultParagraphFont"/>
    <w:uiPriority w:val="99"/>
    <w:semiHidden/>
    <w:unhideWhenUsed/>
    <w:rsid w:val="00A31CC3"/>
    <w:rPr>
      <w:color w:val="605E5C"/>
      <w:shd w:val="clear" w:color="auto" w:fill="E1DFDD"/>
    </w:rPr>
  </w:style>
  <w:style w:type="character" w:styleId="CommentReference">
    <w:name w:val="annotation reference"/>
    <w:basedOn w:val="DefaultParagraphFont"/>
    <w:uiPriority w:val="99"/>
    <w:semiHidden/>
    <w:unhideWhenUsed/>
    <w:rsid w:val="00A31CC3"/>
    <w:rPr>
      <w:sz w:val="16"/>
      <w:szCs w:val="16"/>
    </w:rPr>
  </w:style>
  <w:style w:type="paragraph" w:styleId="CommentText">
    <w:name w:val="annotation text"/>
    <w:basedOn w:val="Normal"/>
    <w:link w:val="CommentTextChar"/>
    <w:uiPriority w:val="99"/>
    <w:unhideWhenUsed/>
    <w:rsid w:val="00A31CC3"/>
    <w:pPr>
      <w:spacing w:line="240" w:lineRule="auto"/>
    </w:pPr>
    <w:rPr>
      <w:sz w:val="20"/>
      <w:szCs w:val="20"/>
    </w:rPr>
  </w:style>
  <w:style w:type="character" w:customStyle="1" w:styleId="CommentTextChar">
    <w:name w:val="Comment Text Char"/>
    <w:basedOn w:val="DefaultParagraphFont"/>
    <w:link w:val="CommentText"/>
    <w:uiPriority w:val="99"/>
    <w:rsid w:val="00A31CC3"/>
    <w:rPr>
      <w:rFonts w:ascii="Calibri" w:eastAsia="Calibri" w:hAnsi="Calibri" w:cs="Calibri"/>
      <w:sz w:val="20"/>
      <w:szCs w:val="20"/>
      <w:lang w:val="en-GB" w:eastAsia="it-IT"/>
    </w:rPr>
  </w:style>
  <w:style w:type="paragraph" w:styleId="CommentSubject">
    <w:name w:val="annotation subject"/>
    <w:basedOn w:val="CommentText"/>
    <w:next w:val="CommentText"/>
    <w:link w:val="CommentSubjectChar"/>
    <w:uiPriority w:val="99"/>
    <w:semiHidden/>
    <w:unhideWhenUsed/>
    <w:rsid w:val="00A31CC3"/>
    <w:rPr>
      <w:b/>
      <w:bCs/>
    </w:rPr>
  </w:style>
  <w:style w:type="character" w:customStyle="1" w:styleId="CommentSubjectChar">
    <w:name w:val="Comment Subject Char"/>
    <w:basedOn w:val="CommentTextChar"/>
    <w:link w:val="CommentSubject"/>
    <w:uiPriority w:val="99"/>
    <w:semiHidden/>
    <w:rsid w:val="00A31CC3"/>
    <w:rPr>
      <w:rFonts w:ascii="Calibri" w:eastAsia="Calibri" w:hAnsi="Calibri" w:cs="Calibri"/>
      <w:b/>
      <w:bCs/>
      <w:sz w:val="20"/>
      <w:szCs w:val="20"/>
      <w:lang w:val="en-GB" w:eastAsia="it-IT"/>
    </w:rPr>
  </w:style>
  <w:style w:type="paragraph" w:styleId="BalloonText">
    <w:name w:val="Balloon Text"/>
    <w:basedOn w:val="Normal"/>
    <w:link w:val="BalloonTextChar"/>
    <w:uiPriority w:val="99"/>
    <w:semiHidden/>
    <w:unhideWhenUsed/>
    <w:rsid w:val="00A31C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1CC3"/>
    <w:rPr>
      <w:rFonts w:ascii="Tahoma" w:eastAsia="Calibri" w:hAnsi="Tahoma" w:cs="Tahoma"/>
      <w:sz w:val="16"/>
      <w:szCs w:val="16"/>
      <w:lang w:val="en-GB" w:eastAsia="it-IT"/>
    </w:rPr>
  </w:style>
  <w:style w:type="paragraph" w:styleId="FootnoteText">
    <w:name w:val="footnote text"/>
    <w:basedOn w:val="Normal"/>
    <w:link w:val="FootnoteTextChar"/>
    <w:uiPriority w:val="99"/>
    <w:unhideWhenUsed/>
    <w:rsid w:val="00A31CC3"/>
    <w:pPr>
      <w:spacing w:after="0" w:line="240" w:lineRule="auto"/>
    </w:pPr>
    <w:rPr>
      <w:sz w:val="20"/>
      <w:szCs w:val="20"/>
    </w:rPr>
  </w:style>
  <w:style w:type="character" w:customStyle="1" w:styleId="FootnoteTextChar">
    <w:name w:val="Footnote Text Char"/>
    <w:basedOn w:val="DefaultParagraphFont"/>
    <w:link w:val="FootnoteText"/>
    <w:uiPriority w:val="99"/>
    <w:rsid w:val="00A31CC3"/>
    <w:rPr>
      <w:rFonts w:ascii="Calibri" w:eastAsia="Calibri" w:hAnsi="Calibri" w:cs="Calibri"/>
      <w:sz w:val="20"/>
      <w:szCs w:val="20"/>
      <w:lang w:val="en-GB" w:eastAsia="it-IT"/>
    </w:rPr>
  </w:style>
  <w:style w:type="character" w:styleId="FootnoteReference">
    <w:name w:val="footnote reference"/>
    <w:basedOn w:val="DefaultParagraphFont"/>
    <w:uiPriority w:val="99"/>
    <w:semiHidden/>
    <w:unhideWhenUsed/>
    <w:rsid w:val="00A31CC3"/>
    <w:rPr>
      <w:vertAlign w:val="superscript"/>
    </w:rPr>
  </w:style>
  <w:style w:type="table" w:styleId="TableGrid">
    <w:name w:val="Table Grid"/>
    <w:basedOn w:val="TableNormal"/>
    <w:uiPriority w:val="39"/>
    <w:rsid w:val="00A31C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mainz">
    <w:name w:val="corpo del testo mainz"/>
    <w:basedOn w:val="Normal"/>
    <w:qFormat/>
    <w:rsid w:val="00A31CC3"/>
    <w:pPr>
      <w:widowControl w:val="0"/>
      <w:spacing w:before="120" w:after="0" w:line="360" w:lineRule="exact"/>
      <w:contextualSpacing/>
      <w:jc w:val="both"/>
    </w:pPr>
    <w:rPr>
      <w:rFonts w:ascii="Gentium" w:eastAsia="SimSun" w:hAnsi="Gentium" w:cs="Times New Roman"/>
      <w:sz w:val="27"/>
      <w:szCs w:val="27"/>
      <w:lang w:eastAsia="zh-CN"/>
    </w:rPr>
  </w:style>
  <w:style w:type="paragraph" w:styleId="EndnoteText">
    <w:name w:val="endnote text"/>
    <w:basedOn w:val="Normal"/>
    <w:link w:val="EndnoteTextChar"/>
    <w:uiPriority w:val="99"/>
    <w:semiHidden/>
    <w:unhideWhenUsed/>
    <w:rsid w:val="00A31CC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31CC3"/>
    <w:rPr>
      <w:rFonts w:ascii="Calibri" w:eastAsia="Calibri" w:hAnsi="Calibri" w:cs="Calibri"/>
      <w:sz w:val="20"/>
      <w:szCs w:val="20"/>
      <w:lang w:val="en-GB" w:eastAsia="it-IT"/>
    </w:rPr>
  </w:style>
  <w:style w:type="character" w:styleId="EndnoteReference">
    <w:name w:val="endnote reference"/>
    <w:basedOn w:val="DefaultParagraphFont"/>
    <w:uiPriority w:val="99"/>
    <w:semiHidden/>
    <w:unhideWhenUsed/>
    <w:rsid w:val="00A31CC3"/>
    <w:rPr>
      <w:vertAlign w:val="superscript"/>
    </w:rPr>
  </w:style>
  <w:style w:type="paragraph" w:customStyle="1" w:styleId="CORPOTESTOLIBRO">
    <w:name w:val="CORPO TESTO LIBRO"/>
    <w:basedOn w:val="Normal"/>
    <w:link w:val="CORPOTESTOLIBROCarattere"/>
    <w:qFormat/>
    <w:rsid w:val="00A31CC3"/>
    <w:pPr>
      <w:spacing w:after="0" w:line="240" w:lineRule="auto"/>
      <w:ind w:firstLine="284"/>
      <w:jc w:val="both"/>
    </w:pPr>
    <w:rPr>
      <w:rFonts w:ascii="Palatino Linotype" w:eastAsiaTheme="minorEastAsia" w:hAnsi="Palatino Linotype" w:cstheme="minorBidi"/>
      <w:lang w:val="en-US" w:eastAsia="en-US"/>
    </w:rPr>
  </w:style>
  <w:style w:type="character" w:customStyle="1" w:styleId="CORPOTESTOLIBROCarattere">
    <w:name w:val="CORPO TESTO LIBRO Carattere"/>
    <w:basedOn w:val="DefaultParagraphFont"/>
    <w:link w:val="CORPOTESTOLIBRO"/>
    <w:rsid w:val="00A31CC3"/>
    <w:rPr>
      <w:rFonts w:ascii="Palatino Linotype" w:eastAsiaTheme="minorEastAsia" w:hAnsi="Palatino Linotype"/>
      <w:lang w:val="en-US"/>
    </w:rPr>
  </w:style>
  <w:style w:type="paragraph" w:styleId="Header">
    <w:name w:val="header"/>
    <w:basedOn w:val="Normal"/>
    <w:link w:val="HeaderChar"/>
    <w:uiPriority w:val="99"/>
    <w:unhideWhenUsed/>
    <w:rsid w:val="00A31CC3"/>
    <w:pPr>
      <w:tabs>
        <w:tab w:val="center" w:pos="4819"/>
        <w:tab w:val="right" w:pos="9638"/>
      </w:tabs>
      <w:spacing w:after="0" w:line="240" w:lineRule="auto"/>
    </w:pPr>
  </w:style>
  <w:style w:type="character" w:customStyle="1" w:styleId="HeaderChar">
    <w:name w:val="Header Char"/>
    <w:basedOn w:val="DefaultParagraphFont"/>
    <w:link w:val="Header"/>
    <w:uiPriority w:val="99"/>
    <w:rsid w:val="00A31CC3"/>
    <w:rPr>
      <w:rFonts w:ascii="Calibri" w:eastAsia="Calibri" w:hAnsi="Calibri" w:cs="Calibri"/>
      <w:lang w:val="en-GB" w:eastAsia="it-IT"/>
    </w:rPr>
  </w:style>
  <w:style w:type="paragraph" w:styleId="Footer">
    <w:name w:val="footer"/>
    <w:basedOn w:val="Normal"/>
    <w:link w:val="FooterChar"/>
    <w:uiPriority w:val="99"/>
    <w:unhideWhenUsed/>
    <w:rsid w:val="00A31CC3"/>
    <w:pPr>
      <w:tabs>
        <w:tab w:val="center" w:pos="4819"/>
        <w:tab w:val="right" w:pos="9638"/>
      </w:tabs>
      <w:spacing w:after="0" w:line="240" w:lineRule="auto"/>
    </w:pPr>
  </w:style>
  <w:style w:type="character" w:customStyle="1" w:styleId="FooterChar">
    <w:name w:val="Footer Char"/>
    <w:basedOn w:val="DefaultParagraphFont"/>
    <w:link w:val="Footer"/>
    <w:uiPriority w:val="99"/>
    <w:rsid w:val="00A31CC3"/>
    <w:rPr>
      <w:rFonts w:ascii="Calibri" w:eastAsia="Calibri" w:hAnsi="Calibri" w:cs="Calibri"/>
      <w:lang w:val="en-GB"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www.tandfonline.com/toc/rcui20/curren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n.wikipedia.org/wiki/Directorate-General"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21</Pages>
  <Words>8995</Words>
  <Characters>51277</Characters>
  <Application>Microsoft Office Word</Application>
  <DocSecurity>0</DocSecurity>
  <Lines>427</Lines>
  <Paragraphs>120</Paragraphs>
  <ScaleCrop>false</ScaleCrop>
  <Company/>
  <LinksUpToDate>false</LinksUpToDate>
  <CharactersWithSpaces>60152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Cinzia Bevitori</dc:creator>
  <cp:keywords/>
  <dc:description/>
  <cp:lastModifiedBy>Cinzia Bevitori</cp:lastModifiedBy>
  <cp:revision>3</cp:revision>
  <dcterms:created xsi:type="dcterms:W3CDTF">2022-11-22T09:30:00Z</dcterms:created>
  <dcterms:modified xsi:type="dcterms:W3CDTF">2022-11-22T09:30:00Z</dcterms:modified>
</cp:coreProperties>
</file>