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D355D" w14:textId="48911F1C" w:rsidR="007E5C8B" w:rsidRDefault="007E5C8B" w:rsidP="007E5C8B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A r</w:t>
      </w:r>
      <w:r w:rsidRPr="007E5C8B">
        <w:rPr>
          <w:rFonts w:ascii="Arial" w:hAnsi="Arial" w:cs="Arial"/>
          <w:b/>
          <w:bCs/>
          <w:sz w:val="20"/>
          <w:szCs w:val="20"/>
          <w:lang w:val="en-US"/>
        </w:rPr>
        <w:t xml:space="preserve">apid screening method based on volatile </w:t>
      </w:r>
      <w:r>
        <w:rPr>
          <w:rFonts w:ascii="Arial" w:hAnsi="Arial" w:cs="Arial"/>
          <w:b/>
          <w:bCs/>
          <w:sz w:val="20"/>
          <w:szCs w:val="20"/>
          <w:lang w:val="en-US"/>
        </w:rPr>
        <w:t>compounds to support</w:t>
      </w:r>
    </w:p>
    <w:p w14:paraId="65B4AAC0" w14:textId="381580DB" w:rsidR="007E5C8B" w:rsidRPr="008C2A92" w:rsidRDefault="007E5C8B" w:rsidP="007E5C8B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the sensory analysis of virgin olive oils</w:t>
      </w:r>
    </w:p>
    <w:p w14:paraId="01ACE7B3" w14:textId="77777777" w:rsidR="008C2A92" w:rsidRPr="008C2A92" w:rsidRDefault="008C2A92" w:rsidP="008C2A9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6F24463" w14:textId="33CBE5DC" w:rsidR="008C2A92" w:rsidRDefault="008C2A92" w:rsidP="008C2A92">
      <w:pPr>
        <w:spacing w:after="0" w:line="360" w:lineRule="auto"/>
        <w:jc w:val="center"/>
        <w:rPr>
          <w:rFonts w:ascii="Arial" w:hAnsi="Arial" w:cs="Arial"/>
          <w:sz w:val="20"/>
          <w:szCs w:val="20"/>
          <w:vertAlign w:val="superscript"/>
          <w:lang w:val="en-GB"/>
        </w:rPr>
      </w:pPr>
      <w:r w:rsidRPr="007E5C8B">
        <w:rPr>
          <w:rFonts w:ascii="Arial" w:hAnsi="Arial" w:cs="Arial"/>
          <w:sz w:val="20"/>
          <w:szCs w:val="20"/>
          <w:u w:val="single"/>
          <w:lang w:val="en-GB"/>
        </w:rPr>
        <w:t>Sara Barbieri</w:t>
      </w:r>
      <w:r w:rsidRPr="007E5C8B">
        <w:rPr>
          <w:rFonts w:ascii="Arial" w:hAnsi="Arial" w:cs="Arial"/>
          <w:sz w:val="20"/>
          <w:szCs w:val="20"/>
          <w:u w:val="single"/>
          <w:vertAlign w:val="superscript"/>
          <w:lang w:val="en-GB"/>
        </w:rPr>
        <w:t>1</w:t>
      </w:r>
      <w:r w:rsidRPr="008C2A92">
        <w:rPr>
          <w:rFonts w:ascii="Arial" w:hAnsi="Arial" w:cs="Arial"/>
          <w:sz w:val="20"/>
          <w:szCs w:val="20"/>
          <w:lang w:val="en-GB"/>
        </w:rPr>
        <w:t>, Chiara Cevoli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8C2A92">
        <w:rPr>
          <w:rFonts w:ascii="Arial" w:hAnsi="Arial" w:cs="Arial"/>
          <w:sz w:val="20"/>
          <w:szCs w:val="20"/>
          <w:lang w:val="en-GB"/>
        </w:rPr>
        <w:t>, Alessandra Bendini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8C2A92">
        <w:rPr>
          <w:rFonts w:ascii="Arial" w:hAnsi="Arial" w:cs="Arial"/>
          <w:sz w:val="20"/>
          <w:szCs w:val="20"/>
          <w:lang w:val="en-GB"/>
        </w:rPr>
        <w:t>, Ole Winkelmann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8C2A92">
        <w:rPr>
          <w:rFonts w:ascii="Arial" w:hAnsi="Arial" w:cs="Arial"/>
          <w:sz w:val="20"/>
          <w:szCs w:val="20"/>
          <w:lang w:val="en-GB"/>
        </w:rPr>
        <w:t>, Florence Lacoste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3</w:t>
      </w:r>
      <w:r w:rsidRPr="008C2A92">
        <w:rPr>
          <w:rFonts w:ascii="Arial" w:hAnsi="Arial" w:cs="Arial"/>
          <w:sz w:val="20"/>
          <w:szCs w:val="20"/>
          <w:lang w:val="en-GB"/>
        </w:rPr>
        <w:t>, Milena Bučar-Miklavčič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4</w:t>
      </w:r>
      <w:r w:rsidRPr="008C2A92">
        <w:rPr>
          <w:rFonts w:ascii="Arial" w:hAnsi="Arial" w:cs="Arial"/>
          <w:sz w:val="20"/>
          <w:szCs w:val="20"/>
          <w:lang w:val="en-GB"/>
        </w:rPr>
        <w:t xml:space="preserve">, Karolina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Brkić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 Bubola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5</w:t>
      </w:r>
      <w:r w:rsidRPr="008C2A92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Ummuhan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 Tibet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6</w:t>
      </w:r>
      <w:r w:rsidRPr="008C2A92">
        <w:rPr>
          <w:rFonts w:ascii="Arial" w:hAnsi="Arial" w:cs="Arial"/>
          <w:sz w:val="20"/>
          <w:szCs w:val="20"/>
          <w:lang w:val="en-GB"/>
        </w:rPr>
        <w:t>, Diego Luis García González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7</w:t>
      </w:r>
      <w:r w:rsidRPr="008C2A92">
        <w:rPr>
          <w:rFonts w:ascii="Arial" w:hAnsi="Arial" w:cs="Arial"/>
          <w:sz w:val="20"/>
          <w:szCs w:val="20"/>
          <w:lang w:val="en-GB"/>
        </w:rPr>
        <w:t>, Tullia Gallina Toschi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</w:p>
    <w:p w14:paraId="303DF9C5" w14:textId="77777777" w:rsidR="008C2A92" w:rsidRPr="008C2A92" w:rsidRDefault="008C2A92" w:rsidP="008C2A92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en-GB"/>
        </w:rPr>
      </w:pPr>
    </w:p>
    <w:p w14:paraId="3AB3F65C" w14:textId="77777777" w:rsidR="008C2A92" w:rsidRDefault="008C2A92" w:rsidP="008C2A9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8C2A92">
        <w:rPr>
          <w:rFonts w:ascii="Arial" w:hAnsi="Arial" w:cs="Arial"/>
          <w:sz w:val="20"/>
          <w:szCs w:val="20"/>
          <w:lang w:val="en-GB"/>
        </w:rPr>
        <w:t xml:space="preserve">Alma Mater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Studiorum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 -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Università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 di Bologna, Bologna, Italy, 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8C2A92">
        <w:rPr>
          <w:rFonts w:ascii="Arial" w:hAnsi="Arial" w:cs="Arial"/>
          <w:sz w:val="20"/>
          <w:szCs w:val="20"/>
          <w:lang w:val="en-GB"/>
        </w:rPr>
        <w:t xml:space="preserve">Eurofins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Analytik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 GmbH, Hamburg, Germany, 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3</w:t>
      </w:r>
      <w:r w:rsidRPr="008C2A92">
        <w:rPr>
          <w:rFonts w:ascii="Arial" w:hAnsi="Arial" w:cs="Arial"/>
          <w:sz w:val="20"/>
          <w:szCs w:val="20"/>
          <w:lang w:val="en-GB"/>
        </w:rPr>
        <w:t xml:space="preserve">Institut des Corps Gras, Pessac, France, 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4</w:t>
      </w:r>
      <w:r w:rsidRPr="008C2A92">
        <w:rPr>
          <w:rFonts w:ascii="Arial" w:hAnsi="Arial" w:cs="Arial"/>
          <w:sz w:val="20"/>
          <w:szCs w:val="20"/>
          <w:lang w:val="en-GB"/>
        </w:rPr>
        <w:t xml:space="preserve">Univerza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na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Primorskem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, Izola, Slovenia, 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5</w:t>
      </w:r>
      <w:r w:rsidRPr="008C2A92">
        <w:rPr>
          <w:rFonts w:ascii="Arial" w:hAnsi="Arial" w:cs="Arial"/>
          <w:sz w:val="20"/>
          <w:szCs w:val="20"/>
          <w:lang w:val="en-GB"/>
        </w:rPr>
        <w:t xml:space="preserve">Institute of Agriculture and Tourism, Poreč, Croatia, 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6</w:t>
      </w:r>
      <w:r w:rsidRPr="008C2A92">
        <w:rPr>
          <w:rFonts w:ascii="Arial" w:hAnsi="Arial" w:cs="Arial"/>
          <w:sz w:val="20"/>
          <w:szCs w:val="20"/>
          <w:lang w:val="en-GB"/>
        </w:rPr>
        <w:t xml:space="preserve">Ulusal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Zeytin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ve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Zeytinyağı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Konseyi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 xml:space="preserve">, Izmir, Turkey, </w:t>
      </w:r>
      <w:r w:rsidRPr="008C2A92">
        <w:rPr>
          <w:rFonts w:ascii="Arial" w:hAnsi="Arial" w:cs="Arial"/>
          <w:sz w:val="20"/>
          <w:szCs w:val="20"/>
          <w:vertAlign w:val="superscript"/>
          <w:lang w:val="en-GB"/>
        </w:rPr>
        <w:t>7</w:t>
      </w:r>
      <w:r w:rsidRPr="008C2A92">
        <w:rPr>
          <w:rFonts w:ascii="Arial" w:hAnsi="Arial" w:cs="Arial"/>
          <w:sz w:val="20"/>
          <w:szCs w:val="20"/>
          <w:lang w:val="en-GB"/>
        </w:rPr>
        <w:t xml:space="preserve">Instituto de la </w:t>
      </w:r>
      <w:proofErr w:type="spellStart"/>
      <w:r w:rsidRPr="008C2A92">
        <w:rPr>
          <w:rFonts w:ascii="Arial" w:hAnsi="Arial" w:cs="Arial"/>
          <w:sz w:val="20"/>
          <w:szCs w:val="20"/>
          <w:lang w:val="en-GB"/>
        </w:rPr>
        <w:t>Grasa</w:t>
      </w:r>
      <w:proofErr w:type="spellEnd"/>
      <w:r w:rsidRPr="008C2A92">
        <w:rPr>
          <w:rFonts w:ascii="Arial" w:hAnsi="Arial" w:cs="Arial"/>
          <w:sz w:val="20"/>
          <w:szCs w:val="20"/>
          <w:lang w:val="en-GB"/>
        </w:rPr>
        <w:t>, Sevilla, Spain</w:t>
      </w:r>
    </w:p>
    <w:p w14:paraId="63F4AF20" w14:textId="77777777" w:rsidR="008C2A92" w:rsidRDefault="008C2A92" w:rsidP="008C2A9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6A1EB65" w14:textId="24FEF473" w:rsidR="008C2A92" w:rsidRDefault="00587AB5" w:rsidP="008C2A9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587AB5">
        <w:rPr>
          <w:rFonts w:ascii="Arial" w:hAnsi="Arial" w:cs="Arial"/>
          <w:sz w:val="20"/>
          <w:szCs w:val="20"/>
          <w:lang w:val="en-GB"/>
        </w:rPr>
        <w:t>Innovative, rapid and environmentally friendly analytical methods are highly desirable in the quality control of the olive oils, thus a growing interest in their deep investigation exists.</w:t>
      </w:r>
    </w:p>
    <w:p w14:paraId="32D6A54B" w14:textId="5EE4B288" w:rsidR="00587AB5" w:rsidRDefault="00587AB5" w:rsidP="00587AB5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95496">
        <w:rPr>
          <w:rFonts w:ascii="Arial" w:hAnsi="Arial" w:cs="Arial"/>
          <w:sz w:val="20"/>
          <w:szCs w:val="20"/>
          <w:lang w:val="en-GB"/>
        </w:rPr>
        <w:t xml:space="preserve">Despite many methods to assess </w:t>
      </w:r>
      <w:r>
        <w:rPr>
          <w:rFonts w:ascii="Arial" w:hAnsi="Arial" w:cs="Arial"/>
          <w:sz w:val="20"/>
          <w:szCs w:val="20"/>
          <w:lang w:val="en-GB"/>
        </w:rPr>
        <w:t>VOO</w:t>
      </w:r>
      <w:r w:rsidRPr="00895496">
        <w:rPr>
          <w:rFonts w:ascii="Arial" w:hAnsi="Arial" w:cs="Arial"/>
          <w:sz w:val="20"/>
          <w:szCs w:val="20"/>
          <w:lang w:val="en-GB"/>
        </w:rPr>
        <w:t xml:space="preserve"> quality are available at international level, the need of supporting the organoleptic analysis was reported in the call H2020-SFS-14a-2014 and is one of the main </w:t>
      </w:r>
      <w:proofErr w:type="gramStart"/>
      <w:r w:rsidRPr="00895496">
        <w:rPr>
          <w:rFonts w:ascii="Arial" w:hAnsi="Arial" w:cs="Arial"/>
          <w:sz w:val="20"/>
          <w:szCs w:val="20"/>
          <w:lang w:val="en-GB"/>
        </w:rPr>
        <w:t>objective</w:t>
      </w:r>
      <w:proofErr w:type="gramEnd"/>
      <w:r w:rsidRPr="00895496">
        <w:rPr>
          <w:rFonts w:ascii="Arial" w:hAnsi="Arial" w:cs="Arial"/>
          <w:sz w:val="20"/>
          <w:szCs w:val="20"/>
          <w:lang w:val="en-GB"/>
        </w:rPr>
        <w:t xml:space="preserve"> of the OLEUM project. </w:t>
      </w:r>
    </w:p>
    <w:p w14:paraId="1CBC1047" w14:textId="723AF060" w:rsidR="00587AB5" w:rsidRDefault="00587AB5" w:rsidP="00587AB5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95496">
        <w:rPr>
          <w:rFonts w:ascii="Arial" w:hAnsi="Arial" w:cs="Arial"/>
          <w:sz w:val="20"/>
          <w:szCs w:val="20"/>
          <w:lang w:val="en-GB"/>
        </w:rPr>
        <w:t>Specifically, the setting up of rapid instrumental methods could represent a solution for achieving a preliminary screening of a high number of samples and/or for supporting the sensory panels in the discrimination of boundaries samples.</w:t>
      </w:r>
    </w:p>
    <w:p w14:paraId="75C93FFE" w14:textId="1E3C490F" w:rsidR="00587AB5" w:rsidRPr="00895496" w:rsidRDefault="00587AB5" w:rsidP="00587AB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n-US" w:eastAsia="de-DE"/>
        </w:rPr>
      </w:pPr>
      <w:r w:rsidRPr="00895496">
        <w:rPr>
          <w:rFonts w:ascii="Arial" w:eastAsia="Times New Roman" w:hAnsi="Arial" w:cs="Arial"/>
          <w:sz w:val="20"/>
          <w:szCs w:val="20"/>
          <w:lang w:val="en-GB" w:eastAsia="de-DE"/>
        </w:rPr>
        <w:t>In this research, a</w:t>
      </w:r>
      <w:r w:rsidRPr="00895496">
        <w:rPr>
          <w:rFonts w:ascii="Arial" w:eastAsia="Times New Roman" w:hAnsi="Arial" w:cs="Arial"/>
          <w:sz w:val="20"/>
          <w:szCs w:val="20"/>
          <w:lang w:val="en-US" w:eastAsia="de-DE"/>
        </w:rPr>
        <w:t xml:space="preserve"> set of 180 VOOs, sampled during the first year of the OLEUM project, was sensory assessed (EU Reg. 1227/2016)</w:t>
      </w:r>
      <w:r w:rsidR="008C2A92">
        <w:rPr>
          <w:rFonts w:ascii="Arial" w:eastAsia="Times New Roman" w:hAnsi="Arial" w:cs="Arial"/>
          <w:sz w:val="20"/>
          <w:szCs w:val="20"/>
          <w:lang w:val="en-US" w:eastAsia="de-DE"/>
        </w:rPr>
        <w:t xml:space="preserve"> </w:t>
      </w:r>
      <w:r w:rsidRPr="00895496">
        <w:rPr>
          <w:rFonts w:ascii="Arial" w:eastAsia="Times New Roman" w:hAnsi="Arial" w:cs="Arial"/>
          <w:sz w:val="20"/>
          <w:szCs w:val="20"/>
          <w:lang w:val="en-US" w:eastAsia="de-DE"/>
        </w:rPr>
        <w:t xml:space="preserve">by 6 sensory panels, having different nationality and experience. The </w:t>
      </w:r>
      <w:r w:rsidRPr="00895496">
        <w:rPr>
          <w:rFonts w:ascii="Arial" w:hAnsi="Arial" w:cs="Arial"/>
          <w:sz w:val="20"/>
          <w:szCs w:val="20"/>
          <w:lang w:val="en-US" w:eastAsia="de-DE"/>
        </w:rPr>
        <w:t xml:space="preserve">headspace volatile profiles of </w:t>
      </w:r>
      <w:r w:rsidR="008C2A92">
        <w:rPr>
          <w:rFonts w:ascii="Arial" w:hAnsi="Arial" w:cs="Arial"/>
          <w:sz w:val="20"/>
          <w:szCs w:val="20"/>
          <w:lang w:val="en-US" w:eastAsia="de-DE"/>
        </w:rPr>
        <w:t>the same</w:t>
      </w:r>
      <w:r w:rsidRPr="00895496">
        <w:rPr>
          <w:rFonts w:ascii="Arial" w:hAnsi="Arial" w:cs="Arial"/>
          <w:sz w:val="20"/>
          <w:szCs w:val="20"/>
          <w:lang w:val="en-US" w:eastAsia="de-DE"/>
        </w:rPr>
        <w:t xml:space="preserve"> set</w:t>
      </w:r>
      <w:r w:rsidRPr="00895496">
        <w:rPr>
          <w:rFonts w:ascii="Arial" w:eastAsia="Times New Roman" w:hAnsi="Arial" w:cs="Arial"/>
          <w:sz w:val="20"/>
          <w:szCs w:val="20"/>
          <w:lang w:val="en-US" w:eastAsia="de-DE"/>
        </w:rPr>
        <w:t xml:space="preserve"> were also analyzed by flash gas chromatography electronic nose (FGC E-nose).</w:t>
      </w:r>
    </w:p>
    <w:p w14:paraId="44A8F772" w14:textId="38054CD6" w:rsidR="00587AB5" w:rsidRPr="00895496" w:rsidRDefault="00587AB5" w:rsidP="00587AB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n-GB" w:eastAsia="de-DE"/>
        </w:rPr>
      </w:pPr>
      <w:r w:rsidRPr="00895496">
        <w:rPr>
          <w:rFonts w:ascii="Arial" w:eastAsia="Times New Roman" w:hAnsi="Arial" w:cs="Arial"/>
          <w:sz w:val="20"/>
          <w:szCs w:val="20"/>
          <w:lang w:val="en-US" w:eastAsia="de-DE"/>
        </w:rPr>
        <w:t xml:space="preserve">The chromatograms were elaborated by multivariate </w:t>
      </w:r>
      <w:r w:rsidRPr="00895496">
        <w:rPr>
          <w:rFonts w:ascii="Arial" w:eastAsia="Times New Roman" w:hAnsi="Arial" w:cs="Arial"/>
          <w:sz w:val="20"/>
          <w:szCs w:val="20"/>
          <w:lang w:val="en-GB" w:eastAsia="de-DE"/>
        </w:rPr>
        <w:t xml:space="preserve">statistical analysis </w:t>
      </w:r>
      <w:r w:rsidRPr="00895496">
        <w:rPr>
          <w:rFonts w:ascii="Arial" w:eastAsia="Times New Roman" w:hAnsi="Arial" w:cs="Arial"/>
          <w:sz w:val="20"/>
          <w:szCs w:val="20"/>
          <w:lang w:val="en-US" w:eastAsia="de-DE"/>
        </w:rPr>
        <w:t xml:space="preserve">to develop a classification model able to </w:t>
      </w:r>
      <w:r w:rsidR="008C2A92" w:rsidRPr="008C2A92">
        <w:rPr>
          <w:rFonts w:ascii="Arial" w:hAnsi="Arial" w:cs="Arial"/>
          <w:sz w:val="20"/>
          <w:szCs w:val="20"/>
          <w:lang w:val="en-GB" w:eastAsia="de-DE"/>
        </w:rPr>
        <w:t>predict the belonging of samples to a specific quality grade</w:t>
      </w:r>
      <w:r w:rsidRPr="00895496">
        <w:rPr>
          <w:rFonts w:ascii="Arial" w:hAnsi="Arial" w:cs="Arial"/>
          <w:sz w:val="20"/>
          <w:szCs w:val="20"/>
          <w:lang w:val="en-US" w:eastAsia="de-DE"/>
        </w:rPr>
        <w:t xml:space="preserve">. This approach could reduce the </w:t>
      </w:r>
      <w:r>
        <w:rPr>
          <w:rFonts w:ascii="Arial" w:hAnsi="Arial" w:cs="Arial"/>
          <w:sz w:val="20"/>
          <w:szCs w:val="20"/>
          <w:lang w:val="en-US" w:eastAsia="de-DE"/>
        </w:rPr>
        <w:t>daily work of</w:t>
      </w:r>
      <w:r w:rsidRPr="00895496">
        <w:rPr>
          <w:rFonts w:ascii="Arial" w:hAnsi="Arial" w:cs="Arial"/>
          <w:sz w:val="20"/>
          <w:szCs w:val="20"/>
          <w:lang w:val="en-US" w:eastAsia="de-DE"/>
        </w:rPr>
        <w:t xml:space="preserve"> sensory panel</w:t>
      </w:r>
      <w:r>
        <w:rPr>
          <w:rFonts w:ascii="Arial" w:hAnsi="Arial" w:cs="Arial"/>
          <w:sz w:val="20"/>
          <w:szCs w:val="20"/>
          <w:lang w:val="en-US" w:eastAsia="de-DE"/>
        </w:rPr>
        <w:t>s</w:t>
      </w:r>
      <w:r w:rsidRPr="00895496">
        <w:rPr>
          <w:rFonts w:ascii="Arial" w:hAnsi="Arial" w:cs="Arial"/>
          <w:sz w:val="20"/>
          <w:szCs w:val="20"/>
          <w:lang w:val="en-US" w:eastAsia="de-DE"/>
        </w:rPr>
        <w:t xml:space="preserve"> </w:t>
      </w:r>
      <w:r w:rsidR="008C2A92" w:rsidRPr="008C2A92">
        <w:rPr>
          <w:rFonts w:ascii="Arial" w:hAnsi="Arial" w:cs="Arial"/>
          <w:sz w:val="20"/>
          <w:szCs w:val="20"/>
          <w:lang w:val="en-US" w:eastAsia="de-DE"/>
        </w:rPr>
        <w:t xml:space="preserve">which will consequently increase </w:t>
      </w:r>
      <w:r>
        <w:rPr>
          <w:rFonts w:ascii="Arial" w:hAnsi="Arial" w:cs="Arial"/>
          <w:sz w:val="20"/>
          <w:szCs w:val="20"/>
          <w:lang w:val="en-US" w:eastAsia="de-DE"/>
        </w:rPr>
        <w:t>the number and the efficiency of the controls</w:t>
      </w:r>
      <w:r w:rsidRPr="00895496">
        <w:rPr>
          <w:rFonts w:ascii="Arial" w:hAnsi="Arial" w:cs="Arial"/>
          <w:sz w:val="20"/>
          <w:szCs w:val="20"/>
          <w:lang w:val="en-US" w:eastAsia="de-DE"/>
        </w:rPr>
        <w:t>.</w:t>
      </w:r>
    </w:p>
    <w:p w14:paraId="2129BA24" w14:textId="77777777" w:rsidR="00587AB5" w:rsidRPr="00895496" w:rsidRDefault="00587AB5" w:rsidP="00587AB5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5496">
        <w:rPr>
          <w:rFonts w:ascii="Arial" w:hAnsi="Arial" w:cs="Arial"/>
          <w:sz w:val="20"/>
          <w:szCs w:val="20"/>
          <w:lang w:val="en-US"/>
        </w:rPr>
        <w:t>This work was developed in the context of the project OLEUM “</w:t>
      </w:r>
      <w:r w:rsidRPr="00895496">
        <w:rPr>
          <w:rFonts w:ascii="Arial" w:hAnsi="Arial" w:cs="Arial"/>
          <w:i/>
          <w:sz w:val="20"/>
          <w:szCs w:val="20"/>
          <w:lang w:val="en-US"/>
        </w:rPr>
        <w:t xml:space="preserve">Advanced solutions for assuring authenticity and quality of olive oil at global </w:t>
      </w:r>
      <w:proofErr w:type="gramStart"/>
      <w:r w:rsidRPr="00895496">
        <w:rPr>
          <w:rFonts w:ascii="Arial" w:hAnsi="Arial" w:cs="Arial"/>
          <w:i/>
          <w:sz w:val="20"/>
          <w:szCs w:val="20"/>
          <w:lang w:val="en-US"/>
        </w:rPr>
        <w:t>scale</w:t>
      </w:r>
      <w:r w:rsidRPr="00895496">
        <w:rPr>
          <w:rFonts w:ascii="Arial" w:hAnsi="Arial" w:cs="Arial"/>
          <w:sz w:val="20"/>
          <w:szCs w:val="20"/>
          <w:lang w:val="en-US"/>
        </w:rPr>
        <w:t>“ funded</w:t>
      </w:r>
      <w:proofErr w:type="gramEnd"/>
      <w:r w:rsidRPr="00895496">
        <w:rPr>
          <w:rFonts w:ascii="Arial" w:hAnsi="Arial" w:cs="Arial"/>
          <w:sz w:val="20"/>
          <w:szCs w:val="20"/>
          <w:lang w:val="en-US"/>
        </w:rPr>
        <w:t xml:space="preserve"> by the European Commission within the Horizon 2020 </w:t>
      </w:r>
      <w:proofErr w:type="spellStart"/>
      <w:r w:rsidRPr="00895496">
        <w:rPr>
          <w:rFonts w:ascii="Arial" w:hAnsi="Arial" w:cs="Arial"/>
          <w:sz w:val="20"/>
          <w:szCs w:val="20"/>
          <w:lang w:val="en-US"/>
        </w:rPr>
        <w:t>Programme</w:t>
      </w:r>
      <w:proofErr w:type="spellEnd"/>
      <w:r w:rsidRPr="00895496">
        <w:rPr>
          <w:rFonts w:ascii="Arial" w:hAnsi="Arial" w:cs="Arial"/>
          <w:sz w:val="20"/>
          <w:szCs w:val="20"/>
          <w:lang w:val="en-US"/>
        </w:rPr>
        <w:t xml:space="preserve"> (2014–2020, G.A no. 635690).</w:t>
      </w:r>
    </w:p>
    <w:p w14:paraId="6D08B55A" w14:textId="5EDB63A3" w:rsidR="00D85FD4" w:rsidRDefault="00D85FD4">
      <w:pPr>
        <w:rPr>
          <w:lang w:val="en-US"/>
        </w:rPr>
      </w:pPr>
    </w:p>
    <w:p w14:paraId="3474E2F8" w14:textId="0C8B2708" w:rsidR="007E5C8B" w:rsidRDefault="007E5C8B">
      <w:pPr>
        <w:rPr>
          <w:lang w:val="en-US"/>
        </w:rPr>
      </w:pPr>
      <w:r w:rsidRPr="007E5C8B">
        <w:rPr>
          <w:b/>
          <w:lang w:val="en-US"/>
        </w:rPr>
        <w:t>Topic:</w:t>
      </w:r>
      <w:r>
        <w:rPr>
          <w:lang w:val="en-US"/>
        </w:rPr>
        <w:t xml:space="preserve"> olive oil</w:t>
      </w:r>
    </w:p>
    <w:p w14:paraId="767DB95E" w14:textId="7F32111D" w:rsidR="007E5C8B" w:rsidRDefault="007E5C8B" w:rsidP="007E5C8B">
      <w:pPr>
        <w:rPr>
          <w:b/>
          <w:lang w:val="en-US"/>
        </w:rPr>
      </w:pPr>
      <w:r w:rsidRPr="007E5C8B">
        <w:rPr>
          <w:b/>
          <w:lang w:val="en-US"/>
        </w:rPr>
        <w:t>Keywords:</w:t>
      </w:r>
      <w:r>
        <w:rPr>
          <w:lang w:val="en-US"/>
        </w:rPr>
        <w:t xml:space="preserve"> </w:t>
      </w:r>
      <w:bookmarkStart w:id="0" w:name="_GoBack"/>
      <w:r>
        <w:rPr>
          <w:lang w:val="en-US"/>
        </w:rPr>
        <w:t xml:space="preserve">sensory analysis, rapid screening method, quality, </w:t>
      </w:r>
      <w:r w:rsidR="00933E3E">
        <w:rPr>
          <w:lang w:val="en-US"/>
        </w:rPr>
        <w:t xml:space="preserve">volatile compounds, </w:t>
      </w:r>
      <w:r>
        <w:rPr>
          <w:lang w:val="en-US"/>
        </w:rPr>
        <w:t>classification model</w:t>
      </w:r>
      <w:bookmarkEnd w:id="0"/>
    </w:p>
    <w:p w14:paraId="450793E4" w14:textId="71878171" w:rsidR="007E5C8B" w:rsidRDefault="007E5C8B" w:rsidP="007E5C8B">
      <w:pPr>
        <w:rPr>
          <w:lang w:val="en-US"/>
        </w:rPr>
      </w:pPr>
      <w:r w:rsidRPr="007E5C8B">
        <w:rPr>
          <w:b/>
          <w:lang w:val="en-US"/>
        </w:rPr>
        <w:t>Type of contribution:</w:t>
      </w:r>
      <w:r>
        <w:rPr>
          <w:lang w:val="en-US"/>
        </w:rPr>
        <w:t xml:space="preserve"> Oral presentation</w:t>
      </w:r>
    </w:p>
    <w:p w14:paraId="717D758E" w14:textId="38FE3D87" w:rsidR="007E5C8B" w:rsidRPr="00587AB5" w:rsidRDefault="007E5C8B">
      <w:pPr>
        <w:rPr>
          <w:lang w:val="en-US"/>
        </w:rPr>
      </w:pPr>
    </w:p>
    <w:sectPr w:rsidR="007E5C8B" w:rsidRPr="00587A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C9"/>
    <w:rsid w:val="00193BF0"/>
    <w:rsid w:val="002273C9"/>
    <w:rsid w:val="00587AB5"/>
    <w:rsid w:val="007E5C8B"/>
    <w:rsid w:val="008C2A92"/>
    <w:rsid w:val="00933E3E"/>
    <w:rsid w:val="00D8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6B5DE"/>
  <w15:chartTrackingRefBased/>
  <w15:docId w15:val="{281AA9F3-A433-43C0-8254-672A593F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87A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Barbieri</dc:creator>
  <cp:keywords/>
  <dc:description/>
  <cp:lastModifiedBy>Sara Barbieri</cp:lastModifiedBy>
  <cp:revision>5</cp:revision>
  <dcterms:created xsi:type="dcterms:W3CDTF">2018-05-30T19:42:00Z</dcterms:created>
  <dcterms:modified xsi:type="dcterms:W3CDTF">2018-05-31T20:40:00Z</dcterms:modified>
</cp:coreProperties>
</file>