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417348" w14:textId="760300B7" w:rsidR="00426080" w:rsidRPr="00AC7E99" w:rsidRDefault="00D93A4E" w:rsidP="00BF6B40">
      <w:pPr>
        <w:pStyle w:val="Testonormale"/>
        <w:spacing w:line="480" w:lineRule="auto"/>
        <w:rPr>
          <w:rFonts w:ascii="Times New Roman" w:hAnsi="Times New Roman"/>
          <w:b/>
          <w:sz w:val="24"/>
          <w:szCs w:val="24"/>
        </w:rPr>
      </w:pPr>
      <w:r w:rsidRPr="00AC7E99">
        <w:rPr>
          <w:rFonts w:ascii="Times New Roman" w:hAnsi="Times New Roman"/>
          <w:b/>
          <w:sz w:val="24"/>
          <w:szCs w:val="24"/>
        </w:rPr>
        <w:t xml:space="preserve">Pharmacokinetics of ketamine and norketamine </w:t>
      </w:r>
      <w:r w:rsidR="004E35B2">
        <w:rPr>
          <w:rFonts w:ascii="Times New Roman" w:hAnsi="Times New Roman"/>
          <w:b/>
          <w:sz w:val="24"/>
          <w:szCs w:val="24"/>
        </w:rPr>
        <w:t xml:space="preserve">enantiomers </w:t>
      </w:r>
      <w:r w:rsidRPr="00AC7E99">
        <w:rPr>
          <w:rFonts w:ascii="Times New Roman" w:hAnsi="Times New Roman"/>
          <w:b/>
          <w:sz w:val="24"/>
          <w:szCs w:val="24"/>
        </w:rPr>
        <w:t>after racemic or S-ketamine IV bolus administration in dogs during sevoflurane anaesthesia</w:t>
      </w:r>
    </w:p>
    <w:p w14:paraId="7FF05CAE" w14:textId="5B00524E" w:rsidR="00426080" w:rsidRDefault="00426080" w:rsidP="00BF6B40">
      <w:pPr>
        <w:spacing w:line="480" w:lineRule="auto"/>
      </w:pPr>
    </w:p>
    <w:p w14:paraId="514ED10C" w14:textId="5D6C7D10" w:rsidR="00426080" w:rsidRPr="00AC7E99" w:rsidRDefault="00D93A4E" w:rsidP="00BF6B40">
      <w:pPr>
        <w:spacing w:line="480" w:lineRule="auto"/>
        <w:outlineLvl w:val="0"/>
        <w:rPr>
          <w:vertAlign w:val="superscript"/>
        </w:rPr>
      </w:pPr>
      <w:r w:rsidRPr="00AC7E99">
        <w:t>N</w:t>
      </w:r>
      <w:r w:rsidR="00AC7E99">
        <w:t>oemi</w:t>
      </w:r>
      <w:r w:rsidRPr="00AC7E99">
        <w:t xml:space="preserve"> Romagnoli</w:t>
      </w:r>
      <w:r w:rsidR="00426080" w:rsidRPr="00AC7E99">
        <w:rPr>
          <w:vertAlign w:val="superscript"/>
        </w:rPr>
        <w:t>a</w:t>
      </w:r>
      <w:r w:rsidR="00426080" w:rsidRPr="00AC7E99">
        <w:t xml:space="preserve">, </w:t>
      </w:r>
      <w:r w:rsidRPr="00AC7E99">
        <w:t>R</w:t>
      </w:r>
      <w:r w:rsidR="00AC7E99">
        <w:t>ima</w:t>
      </w:r>
      <w:r w:rsidR="00426080" w:rsidRPr="00AC7E99">
        <w:t xml:space="preserve"> </w:t>
      </w:r>
      <w:r w:rsidR="00AC7E99">
        <w:t xml:space="preserve">N </w:t>
      </w:r>
      <w:r w:rsidRPr="00AC7E99">
        <w:t>Bektas</w:t>
      </w:r>
      <w:r w:rsidR="00426080" w:rsidRPr="00AC7E99">
        <w:rPr>
          <w:vertAlign w:val="superscript"/>
        </w:rPr>
        <w:t>b</w:t>
      </w:r>
      <w:r w:rsidR="00426080" w:rsidRPr="00AC7E99">
        <w:t>,</w:t>
      </w:r>
      <w:r w:rsidR="000A6CC6" w:rsidRPr="00AC7E99">
        <w:t xml:space="preserve"> A</w:t>
      </w:r>
      <w:r w:rsidR="00AC7E99">
        <w:t>nnette</w:t>
      </w:r>
      <w:r w:rsidR="000A6CC6" w:rsidRPr="00AC7E99">
        <w:t xml:space="preserve"> </w:t>
      </w:r>
      <w:r w:rsidR="00AC7E99">
        <w:t xml:space="preserve">P </w:t>
      </w:r>
      <w:r w:rsidR="000A6CC6" w:rsidRPr="00AC7E99">
        <w:t>Kutter</w:t>
      </w:r>
      <w:r w:rsidR="000A6CC6" w:rsidRPr="00AC7E99">
        <w:rPr>
          <w:vertAlign w:val="superscript"/>
        </w:rPr>
        <w:t>b</w:t>
      </w:r>
      <w:r w:rsidR="00CC1D0C" w:rsidRPr="00AC7E99">
        <w:t>,</w:t>
      </w:r>
      <w:r w:rsidR="00426080" w:rsidRPr="00AC7E99">
        <w:t xml:space="preserve"> A</w:t>
      </w:r>
      <w:r w:rsidR="00AC7E99">
        <w:t>ndrea</w:t>
      </w:r>
      <w:r w:rsidR="00426080" w:rsidRPr="00AC7E99">
        <w:t xml:space="preserve"> </w:t>
      </w:r>
      <w:r w:rsidRPr="00273585">
        <w:t>Barbarossa</w:t>
      </w:r>
      <w:r w:rsidR="00426080" w:rsidRPr="00273585">
        <w:rPr>
          <w:vertAlign w:val="superscript"/>
        </w:rPr>
        <w:t>a</w:t>
      </w:r>
      <w:r w:rsidR="00273585" w:rsidRPr="00273585">
        <w:rPr>
          <w:vertAlign w:val="superscript"/>
        </w:rPr>
        <w:t>,</w:t>
      </w:r>
      <w:r w:rsidR="00273585" w:rsidRPr="00273585">
        <w:t>*</w:t>
      </w:r>
      <w:r w:rsidR="00426080" w:rsidRPr="00273585">
        <w:t>,</w:t>
      </w:r>
      <w:r w:rsidR="00911CF8">
        <w:t xml:space="preserve"> Paola Roncada</w:t>
      </w:r>
      <w:r w:rsidR="00911CF8" w:rsidRPr="00273585">
        <w:rPr>
          <w:vertAlign w:val="superscript"/>
        </w:rPr>
        <w:t>a</w:t>
      </w:r>
      <w:r w:rsidR="00911CF8">
        <w:t>,</w:t>
      </w:r>
      <w:r w:rsidR="00426080" w:rsidRPr="00273585">
        <w:t xml:space="preserve"> </w:t>
      </w:r>
      <w:r w:rsidRPr="00273585">
        <w:t>S</w:t>
      </w:r>
      <w:r w:rsidR="00AC7E99" w:rsidRPr="00273585">
        <w:t>onja</w:t>
      </w:r>
      <w:r w:rsidRPr="00AC7E99">
        <w:t xml:space="preserve"> Hartnack</w:t>
      </w:r>
      <w:r w:rsidRPr="00AC7E99">
        <w:rPr>
          <w:vertAlign w:val="superscript"/>
        </w:rPr>
        <w:t>b</w:t>
      </w:r>
      <w:r w:rsidRPr="00AC7E99">
        <w:t>, R</w:t>
      </w:r>
      <w:r w:rsidR="00AC7E99">
        <w:t>egula</w:t>
      </w:r>
      <w:r w:rsidRPr="00AC7E99">
        <w:t xml:space="preserve"> </w:t>
      </w:r>
      <w:r w:rsidRPr="00AC7E99">
        <w:rPr>
          <w:lang w:val="en-GB"/>
        </w:rPr>
        <w:t>Bettschart-Wolfensberger</w:t>
      </w:r>
      <w:r w:rsidRPr="00AC7E99">
        <w:rPr>
          <w:vertAlign w:val="superscript"/>
          <w:lang w:val="en-GB"/>
        </w:rPr>
        <w:t>b</w:t>
      </w:r>
    </w:p>
    <w:p w14:paraId="57B693B9" w14:textId="77777777" w:rsidR="00426080" w:rsidRPr="00AC7E99" w:rsidRDefault="00426080" w:rsidP="00BF6B40">
      <w:pPr>
        <w:spacing w:line="480" w:lineRule="auto"/>
      </w:pPr>
    </w:p>
    <w:p w14:paraId="124DFC4C" w14:textId="77777777" w:rsidR="00426080" w:rsidRPr="00AC7E99" w:rsidRDefault="00426080" w:rsidP="00BF6B40">
      <w:pPr>
        <w:pStyle w:val="Testonormale"/>
        <w:spacing w:line="480" w:lineRule="auto"/>
        <w:rPr>
          <w:rFonts w:ascii="Times New Roman" w:hAnsi="Times New Roman"/>
          <w:i/>
          <w:noProof/>
          <w:sz w:val="24"/>
          <w:szCs w:val="24"/>
        </w:rPr>
      </w:pPr>
      <w:r w:rsidRPr="00AC7E99">
        <w:rPr>
          <w:rFonts w:ascii="Times New Roman" w:hAnsi="Times New Roman"/>
          <w:noProof/>
          <w:sz w:val="24"/>
          <w:szCs w:val="24"/>
          <w:vertAlign w:val="superscript"/>
        </w:rPr>
        <w:t xml:space="preserve">a </w:t>
      </w:r>
      <w:r w:rsidRPr="00AC7E99">
        <w:rPr>
          <w:rFonts w:ascii="Times New Roman" w:hAnsi="Times New Roman"/>
          <w:i/>
          <w:noProof/>
          <w:sz w:val="24"/>
          <w:szCs w:val="24"/>
        </w:rPr>
        <w:t xml:space="preserve">Department of Veterinary </w:t>
      </w:r>
      <w:r w:rsidR="00D93A4E" w:rsidRPr="00AC7E99">
        <w:rPr>
          <w:rFonts w:ascii="Times New Roman" w:hAnsi="Times New Roman"/>
          <w:i/>
          <w:noProof/>
          <w:sz w:val="24"/>
          <w:szCs w:val="24"/>
        </w:rPr>
        <w:t>Medic</w:t>
      </w:r>
      <w:r w:rsidRPr="00AC7E99">
        <w:rPr>
          <w:rFonts w:ascii="Times New Roman" w:hAnsi="Times New Roman"/>
          <w:i/>
          <w:noProof/>
          <w:sz w:val="24"/>
          <w:szCs w:val="24"/>
        </w:rPr>
        <w:t xml:space="preserve">al Sciences, </w:t>
      </w:r>
      <w:r w:rsidR="00D93A4E" w:rsidRPr="00AC7E99">
        <w:rPr>
          <w:rFonts w:ascii="Times New Roman" w:hAnsi="Times New Roman"/>
          <w:i/>
          <w:noProof/>
          <w:sz w:val="24"/>
          <w:szCs w:val="24"/>
        </w:rPr>
        <w:t xml:space="preserve">Alma Mater Studiorum – </w:t>
      </w:r>
      <w:r w:rsidRPr="00AC7E99">
        <w:rPr>
          <w:rFonts w:ascii="Times New Roman" w:hAnsi="Times New Roman"/>
          <w:i/>
          <w:noProof/>
          <w:sz w:val="24"/>
          <w:szCs w:val="24"/>
        </w:rPr>
        <w:t>University</w:t>
      </w:r>
      <w:r w:rsidR="00D93A4E" w:rsidRPr="00AC7E99">
        <w:rPr>
          <w:rFonts w:ascii="Times New Roman" w:hAnsi="Times New Roman"/>
          <w:i/>
          <w:noProof/>
          <w:sz w:val="24"/>
          <w:szCs w:val="24"/>
        </w:rPr>
        <w:t xml:space="preserve"> of Bologna</w:t>
      </w:r>
      <w:r w:rsidRPr="00AC7E99">
        <w:rPr>
          <w:rFonts w:ascii="Times New Roman" w:hAnsi="Times New Roman"/>
          <w:i/>
          <w:noProof/>
          <w:sz w:val="24"/>
          <w:szCs w:val="24"/>
        </w:rPr>
        <w:t xml:space="preserve">, </w:t>
      </w:r>
      <w:r w:rsidR="00774E01" w:rsidRPr="00AC7E99">
        <w:rPr>
          <w:rFonts w:ascii="Times New Roman" w:hAnsi="Times New Roman"/>
          <w:i/>
          <w:noProof/>
          <w:sz w:val="24"/>
          <w:szCs w:val="24"/>
        </w:rPr>
        <w:t>Via Tolara di So</w:t>
      </w:r>
      <w:r w:rsidR="00D93A4E" w:rsidRPr="00AC7E99">
        <w:rPr>
          <w:rFonts w:ascii="Times New Roman" w:hAnsi="Times New Roman"/>
          <w:i/>
          <w:noProof/>
          <w:sz w:val="24"/>
          <w:szCs w:val="24"/>
        </w:rPr>
        <w:t>pra 50</w:t>
      </w:r>
      <w:r w:rsidRPr="00AC7E99">
        <w:rPr>
          <w:rFonts w:ascii="Times New Roman" w:hAnsi="Times New Roman"/>
          <w:i/>
          <w:noProof/>
          <w:sz w:val="24"/>
          <w:szCs w:val="24"/>
        </w:rPr>
        <w:t xml:space="preserve">, </w:t>
      </w:r>
      <w:r w:rsidR="00D93A4E" w:rsidRPr="00AC7E99">
        <w:rPr>
          <w:rFonts w:ascii="Times New Roman" w:hAnsi="Times New Roman"/>
          <w:i/>
          <w:noProof/>
          <w:sz w:val="24"/>
          <w:szCs w:val="24"/>
        </w:rPr>
        <w:t>Ozzano Emilia (BO) 40064</w:t>
      </w:r>
      <w:r w:rsidR="00A5775F" w:rsidRPr="00AC7E99">
        <w:rPr>
          <w:rFonts w:ascii="Times New Roman" w:hAnsi="Times New Roman"/>
          <w:i/>
          <w:noProof/>
          <w:sz w:val="24"/>
          <w:szCs w:val="24"/>
        </w:rPr>
        <w:t>,</w:t>
      </w:r>
      <w:r w:rsidR="00D93A4E" w:rsidRPr="00AC7E99">
        <w:rPr>
          <w:rFonts w:ascii="Times New Roman" w:hAnsi="Times New Roman"/>
          <w:i/>
          <w:noProof/>
          <w:sz w:val="24"/>
          <w:szCs w:val="24"/>
        </w:rPr>
        <w:t xml:space="preserve"> Italy</w:t>
      </w:r>
    </w:p>
    <w:p w14:paraId="27E1E3EB" w14:textId="37890039" w:rsidR="007D2EFD" w:rsidRPr="00274C07" w:rsidRDefault="00426080" w:rsidP="00BF6B40">
      <w:pPr>
        <w:spacing w:line="480" w:lineRule="auto"/>
        <w:rPr>
          <w:lang w:val="it-IT"/>
        </w:rPr>
      </w:pPr>
      <w:r w:rsidRPr="00AC7E99">
        <w:rPr>
          <w:noProof/>
          <w:vertAlign w:val="superscript"/>
        </w:rPr>
        <w:t>b</w:t>
      </w:r>
      <w:r w:rsidR="007D2EFD" w:rsidRPr="00AC7E99">
        <w:rPr>
          <w:noProof/>
          <w:vertAlign w:val="superscript"/>
        </w:rPr>
        <w:t xml:space="preserve"> </w:t>
      </w:r>
      <w:r w:rsidR="00D93A4E" w:rsidRPr="00AC7E99">
        <w:rPr>
          <w:i/>
          <w:noProof/>
        </w:rPr>
        <w:t>Anaesthesiology Section, Vetsuisse F</w:t>
      </w:r>
      <w:r w:rsidR="00774E01" w:rsidRPr="00AC7E99">
        <w:rPr>
          <w:i/>
          <w:noProof/>
        </w:rPr>
        <w:t>aculty, University of Z</w:t>
      </w:r>
      <w:r w:rsidR="00A5775F" w:rsidRPr="00AC7E99">
        <w:rPr>
          <w:i/>
          <w:noProof/>
        </w:rPr>
        <w:t>u</w:t>
      </w:r>
      <w:r w:rsidR="00774E01" w:rsidRPr="00AC7E99">
        <w:rPr>
          <w:i/>
          <w:noProof/>
        </w:rPr>
        <w:t xml:space="preserve">rich, Winterthurerstr. </w:t>
      </w:r>
      <w:r w:rsidR="00774E01" w:rsidRPr="00274C07">
        <w:rPr>
          <w:i/>
          <w:noProof/>
          <w:lang w:val="it-IT"/>
        </w:rPr>
        <w:t>258 c, 8057 Z</w:t>
      </w:r>
      <w:r w:rsidR="00A5775F" w:rsidRPr="00274C07">
        <w:rPr>
          <w:i/>
          <w:noProof/>
          <w:lang w:val="it-IT"/>
        </w:rPr>
        <w:t>u</w:t>
      </w:r>
      <w:r w:rsidR="00774E01" w:rsidRPr="00274C07">
        <w:rPr>
          <w:i/>
          <w:noProof/>
          <w:lang w:val="it-IT"/>
        </w:rPr>
        <w:t xml:space="preserve">rich,  </w:t>
      </w:r>
      <w:r w:rsidR="00D93A4E" w:rsidRPr="00274C07">
        <w:rPr>
          <w:i/>
          <w:noProof/>
          <w:lang w:val="it-IT"/>
        </w:rPr>
        <w:t>Switzerland</w:t>
      </w:r>
    </w:p>
    <w:p w14:paraId="1FF183B7" w14:textId="77777777" w:rsidR="007D2EFD" w:rsidRPr="00274C07" w:rsidRDefault="007D2EFD" w:rsidP="00BF6B40">
      <w:pPr>
        <w:spacing w:line="480" w:lineRule="auto"/>
        <w:rPr>
          <w:lang w:val="it-IT"/>
        </w:rPr>
      </w:pPr>
    </w:p>
    <w:p w14:paraId="0F56D90D" w14:textId="77777777" w:rsidR="007D2EFD" w:rsidRPr="00274C07" w:rsidRDefault="007D2EFD" w:rsidP="00BF6B40">
      <w:pPr>
        <w:spacing w:line="480" w:lineRule="auto"/>
        <w:rPr>
          <w:lang w:val="it-IT"/>
        </w:rPr>
      </w:pPr>
    </w:p>
    <w:p w14:paraId="50850F84" w14:textId="7663723B" w:rsidR="00867E67" w:rsidRPr="00274C07" w:rsidRDefault="00426080" w:rsidP="00BF6B40">
      <w:pPr>
        <w:tabs>
          <w:tab w:val="left" w:pos="284"/>
        </w:tabs>
        <w:spacing w:line="480" w:lineRule="auto"/>
        <w:rPr>
          <w:lang w:val="it-IT"/>
        </w:rPr>
      </w:pPr>
      <w:r w:rsidRPr="00274C07">
        <w:rPr>
          <w:lang w:val="it-IT"/>
        </w:rPr>
        <w:t>*</w:t>
      </w:r>
      <w:r w:rsidR="00B37CC5">
        <w:rPr>
          <w:lang w:val="it-IT"/>
        </w:rPr>
        <w:t xml:space="preserve"> </w:t>
      </w:r>
      <w:r w:rsidRPr="00274C07">
        <w:rPr>
          <w:lang w:val="it-IT"/>
        </w:rPr>
        <w:t>Corresponding author</w:t>
      </w:r>
      <w:r w:rsidR="00867E67" w:rsidRPr="00274C07">
        <w:rPr>
          <w:lang w:val="it-IT"/>
        </w:rPr>
        <w:t>:</w:t>
      </w:r>
      <w:r w:rsidRPr="00274C07">
        <w:rPr>
          <w:lang w:val="it-IT"/>
        </w:rPr>
        <w:t xml:space="preserve"> </w:t>
      </w:r>
      <w:r w:rsidR="00867E67" w:rsidRPr="00274C07">
        <w:rPr>
          <w:lang w:val="it-IT"/>
        </w:rPr>
        <w:t>Andrea Barbarossa</w:t>
      </w:r>
    </w:p>
    <w:p w14:paraId="726895EC" w14:textId="100B7432" w:rsidR="00867E67" w:rsidRDefault="00867E67" w:rsidP="00BF6B40">
      <w:pPr>
        <w:tabs>
          <w:tab w:val="left" w:pos="284"/>
        </w:tabs>
        <w:spacing w:line="480" w:lineRule="auto"/>
        <w:rPr>
          <w:noProof/>
          <w:lang w:val="it-IT"/>
        </w:rPr>
      </w:pPr>
      <w:r w:rsidRPr="00612376">
        <w:rPr>
          <w:noProof/>
          <w:lang w:val="it-IT"/>
        </w:rPr>
        <w:t>Via Tolara di Sopra 50, Ozzano Emilia (BO) 40064, Italy</w:t>
      </w:r>
    </w:p>
    <w:p w14:paraId="22755D6F" w14:textId="3CC21ED2" w:rsidR="00612376" w:rsidRPr="00274C07" w:rsidRDefault="00612376" w:rsidP="00BF6B40">
      <w:pPr>
        <w:tabs>
          <w:tab w:val="left" w:pos="284"/>
        </w:tabs>
        <w:spacing w:line="480" w:lineRule="auto"/>
      </w:pPr>
      <w:r w:rsidRPr="00274C07">
        <w:t>Tel. +39 051 2097500</w:t>
      </w:r>
    </w:p>
    <w:p w14:paraId="2EEE487D" w14:textId="63B47353" w:rsidR="00D90081" w:rsidRDefault="00426080" w:rsidP="00BF6B40">
      <w:pPr>
        <w:tabs>
          <w:tab w:val="left" w:pos="284"/>
        </w:tabs>
        <w:spacing w:line="480" w:lineRule="auto"/>
      </w:pPr>
      <w:r w:rsidRPr="00274C07">
        <w:t>E</w:t>
      </w:r>
      <w:r w:rsidR="00135ED2" w:rsidRPr="00274C07">
        <w:t>-</w:t>
      </w:r>
      <w:r w:rsidRPr="00274C07">
        <w:t xml:space="preserve">mail: </w:t>
      </w:r>
      <w:hyperlink r:id="rId8" w:history="1">
        <w:r w:rsidR="00273585" w:rsidRPr="00274C07">
          <w:rPr>
            <w:rStyle w:val="Collegamentoipertestuale"/>
          </w:rPr>
          <w:t>andrea.barbarossa@unibo.it</w:t>
        </w:r>
      </w:hyperlink>
    </w:p>
    <w:p w14:paraId="1CB91424" w14:textId="0CC3CEDA" w:rsidR="00612376" w:rsidRPr="00274C07" w:rsidRDefault="00612376">
      <w:r w:rsidRPr="00274C07">
        <w:br w:type="page"/>
      </w:r>
    </w:p>
    <w:p w14:paraId="065FC2A6" w14:textId="1706A4B6" w:rsidR="0064588F" w:rsidRPr="00AC7E99" w:rsidRDefault="00426080" w:rsidP="00BF6B40">
      <w:pPr>
        <w:spacing w:line="480" w:lineRule="auto"/>
        <w:rPr>
          <w:b/>
        </w:rPr>
      </w:pPr>
      <w:r w:rsidRPr="00AC7E99">
        <w:rPr>
          <w:b/>
        </w:rPr>
        <w:lastRenderedPageBreak/>
        <w:t>Abstract</w:t>
      </w:r>
    </w:p>
    <w:p w14:paraId="22BB089D" w14:textId="6CD442CB" w:rsidR="007C7FAE" w:rsidRDefault="007C7FAE" w:rsidP="00BF6B40">
      <w:pPr>
        <w:spacing w:line="480" w:lineRule="auto"/>
        <w:jc w:val="both"/>
      </w:pPr>
      <w:r w:rsidRPr="00AC7E99">
        <w:t xml:space="preserve">The aims of this study were to measure plasma levels of R- and S-ketamine and their major metabolites R- and S- norketamine following single intravenous bolus administration of racemic or S-ketamine in sevoflurane anaesthetised dogs and to calculate the relevant pharmacokinetic profiles. </w:t>
      </w:r>
      <w:r w:rsidRPr="00AC7E99">
        <w:rPr>
          <w:iCs/>
        </w:rPr>
        <w:t xml:space="preserve">Six adult healthy beagle dogs were used in the study. </w:t>
      </w:r>
      <w:r w:rsidRPr="00AC7E99">
        <w:t xml:space="preserve">An intravenous bolus of 4 mg/kg racemic ketamine (RS-KET) or 2 mg/kg S-ketamine (S-KET) was administered, with a three-weeks washout period between treatments. Venous blood samples were collected at fixed </w:t>
      </w:r>
      <w:r w:rsidRPr="0007007D">
        <w:t xml:space="preserve">times </w:t>
      </w:r>
      <w:r w:rsidR="0007007D" w:rsidRPr="0007007D">
        <w:t>until</w:t>
      </w:r>
      <w:r w:rsidRPr="0007007D">
        <w:t xml:space="preserve"> 900 min</w:t>
      </w:r>
      <w:r w:rsidR="0057393C" w:rsidRPr="0007007D">
        <w:t>utes</w:t>
      </w:r>
      <w:r w:rsidRPr="0007007D">
        <w:t xml:space="preserve"> and R</w:t>
      </w:r>
      <w:r w:rsidR="00A5775F" w:rsidRPr="0007007D">
        <w:t>-</w:t>
      </w:r>
      <w:r w:rsidR="00A5775F" w:rsidRPr="00AC7E99">
        <w:t xml:space="preserve"> and S</w:t>
      </w:r>
      <w:r w:rsidRPr="00AC7E99">
        <w:t xml:space="preserve">-ketamine as well as </w:t>
      </w:r>
      <w:r w:rsidR="00A5775F" w:rsidRPr="00AC7E99">
        <w:t>R- and S</w:t>
      </w:r>
      <w:r w:rsidR="00A5775F" w:rsidRPr="00AC7E99" w:rsidDel="00A5775F">
        <w:t xml:space="preserve"> </w:t>
      </w:r>
      <w:r w:rsidRPr="00AC7E99">
        <w:t>-norketamine plasma levels determined by liquid chromatography</w:t>
      </w:r>
      <w:r w:rsidRPr="00257306">
        <w:t xml:space="preserve"> coupled with tandem mass spectrometry. Cardiovascular parameters were recorded during the an</w:t>
      </w:r>
      <w:r w:rsidR="00774E01">
        <w:t>a</w:t>
      </w:r>
      <w:r w:rsidRPr="00257306">
        <w:t>esthesia until 240 min.</w:t>
      </w:r>
      <w:r>
        <w:t xml:space="preserve"> </w:t>
      </w:r>
      <w:r w:rsidRPr="00257306">
        <w:t>A</w:t>
      </w:r>
      <w:r>
        <w:t xml:space="preserve">ll dogs recovered well from </w:t>
      </w:r>
      <w:r w:rsidRPr="00257306">
        <w:t xml:space="preserve">anaesthesia. No statistical differences between groups were detected </w:t>
      </w:r>
      <w:r>
        <w:t>in</w:t>
      </w:r>
      <w:r w:rsidRPr="00257306">
        <w:t xml:space="preserve"> any cardiovascular parameter. </w:t>
      </w:r>
      <w:r w:rsidR="00BB39C5">
        <w:t xml:space="preserve">The pharmacokinetics of </w:t>
      </w:r>
      <w:r w:rsidR="002A2459" w:rsidRPr="002A2459">
        <w:t xml:space="preserve">S-ketamine did not differ </w:t>
      </w:r>
      <w:r w:rsidR="005C1A23">
        <w:t xml:space="preserve">when injected intravenously </w:t>
      </w:r>
      <w:r w:rsidR="002A2459" w:rsidRPr="002A2459">
        <w:t>alone or as part of the racemic mixture</w:t>
      </w:r>
      <w:r w:rsidR="005C1A23">
        <w:t xml:space="preserve"> in</w:t>
      </w:r>
      <w:r w:rsidR="005C1A23" w:rsidRPr="002A2459">
        <w:t xml:space="preserve"> dogs anaesthetised with sevoflurane</w:t>
      </w:r>
      <w:r w:rsidR="002E54AF">
        <w:t>. Following racemic ketamine</w:t>
      </w:r>
      <w:r w:rsidR="003C65CB">
        <w:t>,</w:t>
      </w:r>
      <w:r w:rsidR="00BB39C5" w:rsidRPr="00BB39C5">
        <w:t xml:space="preserve"> </w:t>
      </w:r>
      <w:r w:rsidR="00BB39C5">
        <w:t>t</w:t>
      </w:r>
      <w:r w:rsidR="00BB39C5" w:rsidRPr="00BB39C5">
        <w:t>he area under the curve of R-norketamine was statistically higher than the one of S-norketamine.</w:t>
      </w:r>
    </w:p>
    <w:p w14:paraId="7C462C40" w14:textId="77777777" w:rsidR="00426080" w:rsidRPr="007A5247" w:rsidRDefault="00426080" w:rsidP="00BF6B40">
      <w:pPr>
        <w:spacing w:line="480" w:lineRule="auto"/>
        <w:rPr>
          <w:highlight w:val="yellow"/>
        </w:rPr>
      </w:pPr>
    </w:p>
    <w:p w14:paraId="0E82368D" w14:textId="430E6407" w:rsidR="00587F6B" w:rsidRDefault="00426080" w:rsidP="00BF6B40">
      <w:pPr>
        <w:spacing w:line="480" w:lineRule="auto"/>
      </w:pPr>
      <w:r w:rsidRPr="003E737F">
        <w:rPr>
          <w:i/>
        </w:rPr>
        <w:t>Keywords:</w:t>
      </w:r>
      <w:r w:rsidRPr="003E737F">
        <w:t xml:space="preserve"> </w:t>
      </w:r>
      <w:r w:rsidR="007C7FAE">
        <w:t>dog; enantiomer</w:t>
      </w:r>
      <w:r w:rsidR="00BF6B40">
        <w:t>s</w:t>
      </w:r>
      <w:r w:rsidR="007C7FAE">
        <w:t>; ma</w:t>
      </w:r>
      <w:r w:rsidR="00774E01">
        <w:t>ss spectrometry; S-ketamine; S-n</w:t>
      </w:r>
      <w:r w:rsidR="00BF6B40">
        <w:t>orketamine</w:t>
      </w:r>
    </w:p>
    <w:p w14:paraId="1A2045EC" w14:textId="77777777" w:rsidR="00587F6B" w:rsidRDefault="00587F6B">
      <w:r>
        <w:br w:type="page"/>
      </w:r>
    </w:p>
    <w:p w14:paraId="513BFA85" w14:textId="082F016F" w:rsidR="00426080" w:rsidRPr="007C7FAE" w:rsidRDefault="00426080" w:rsidP="00BF6B40">
      <w:pPr>
        <w:spacing w:line="480" w:lineRule="auto"/>
      </w:pPr>
      <w:r w:rsidRPr="00E32F69">
        <w:rPr>
          <w:b/>
        </w:rPr>
        <w:lastRenderedPageBreak/>
        <w:t>Introduction</w:t>
      </w:r>
    </w:p>
    <w:p w14:paraId="05068EC5" w14:textId="08E81D46" w:rsidR="0064588F" w:rsidRDefault="007A5247" w:rsidP="00BF6B40">
      <w:pPr>
        <w:spacing w:line="480" w:lineRule="auto"/>
      </w:pPr>
      <w:r w:rsidRPr="007A5247">
        <w:t xml:space="preserve">Ketamine is a dissociative drug, commonly used in both human and veterinary anaesthesia. Commercially available ketamine is a 50:50% racemic mixture of S-ketamine and R-ketamine. In several species, it has been shown, that the same anaesthetic effect can be achieved with S-ketamine at a dose of 50-67% of racemic ketamine (Deleforge et al., 1991; Adams </w:t>
      </w:r>
      <w:r w:rsidR="00C013FE">
        <w:t>and</w:t>
      </w:r>
      <w:r w:rsidRPr="007A5247">
        <w:t xml:space="preserve"> Werner, 1997; Schmidt et al., 2005; Duque et al., 2008; Larenza et al., 2008a). </w:t>
      </w:r>
    </w:p>
    <w:p w14:paraId="79DC3EE5" w14:textId="3988BBBA" w:rsidR="0064588F" w:rsidRDefault="007A5247" w:rsidP="00BF6B40">
      <w:pPr>
        <w:spacing w:line="480" w:lineRule="auto"/>
      </w:pPr>
      <w:r w:rsidRPr="007A5247">
        <w:t>In humans and horses, S-ketamine at equipotent doses of the racemic mixture induces a slightly shorter action (Doenicke et al., 1992; Larenza et al., 2008b). Pharmacokinetic studies of racemic and S-ketamine in non premedicated humans and horses showed that kinetics differ</w:t>
      </w:r>
      <w:r w:rsidR="003D52F0">
        <w:t>ed</w:t>
      </w:r>
      <w:r w:rsidRPr="007A5247">
        <w:t xml:space="preserve"> between the enantiomers (Ihmsen et al., 2001; Larenza et al., 2009a). It was suggested that R-ketamine </w:t>
      </w:r>
      <w:r w:rsidR="003D52F0" w:rsidRPr="007A5247">
        <w:t>inhibit</w:t>
      </w:r>
      <w:r w:rsidR="003D52F0">
        <w:t>ed</w:t>
      </w:r>
      <w:r w:rsidR="003D52F0" w:rsidRPr="007A5247">
        <w:t xml:space="preserve"> </w:t>
      </w:r>
      <w:r w:rsidRPr="007A5247">
        <w:t xml:space="preserve">the elimination of S-ketamine and as a consequence S-ketamine elimination </w:t>
      </w:r>
      <w:r w:rsidR="003D52F0">
        <w:t>wa</w:t>
      </w:r>
      <w:r w:rsidRPr="007A5247">
        <w:t xml:space="preserve">s faster following administration of S-ketamine alone in comparison to racemic ketamine. On the other </w:t>
      </w:r>
      <w:r w:rsidR="0054457E" w:rsidRPr="007A5247">
        <w:t>hand,</w:t>
      </w:r>
      <w:r w:rsidRPr="007A5247">
        <w:t xml:space="preserve"> no difference in pharmacokinetics between the two enantiomers was detected, when ketamine was administered to isoflurane anaesthetised ponies (Larenza at al., 2007).</w:t>
      </w:r>
    </w:p>
    <w:p w14:paraId="4A1A113F" w14:textId="2613698C" w:rsidR="00245951" w:rsidRDefault="007A5247" w:rsidP="00BF6B40">
      <w:pPr>
        <w:spacing w:line="480" w:lineRule="auto"/>
      </w:pPr>
      <w:r>
        <w:t>In dogs, the only study on stereoselective pharmacokinetics of racemic ketamine was performed under halothane anaesthesia. It demonstrated that following administration of racemic ketamine, S-ketamine showed a 35% higher elimination clearance than R-ketamine (Henthorn et al., 1999). Residual effects of ketamine or its metabolites can induce undesired psychomotor emergence reactions in recovery from anaesthesia. Those negative effects might be reduced following S-ketamine</w:t>
      </w:r>
      <w:r w:rsidR="00774E01">
        <w:t xml:space="preserve"> compared to racemic ketamine, a</w:t>
      </w:r>
      <w:r>
        <w:t xml:space="preserve">s necessary dose rates are lower and elimination of the drug faster. Further cardiopulmonary effects might also differ between enantiomers. In dogs no comparative pharmacokinetic studies of racemic and S-ketamine are available. The investigation of </w:t>
      </w:r>
      <w:r w:rsidR="00315921">
        <w:t>S-ketamine</w:t>
      </w:r>
      <w:r>
        <w:t xml:space="preserve"> pharmacokinetics in detail is </w:t>
      </w:r>
      <w:r>
        <w:lastRenderedPageBreak/>
        <w:t>mandatory to allow its safe use and to elucidate all differences between S-ketamine and the current standard racemic ketamine.</w:t>
      </w:r>
      <w:r w:rsidRPr="007A5247">
        <w:t xml:space="preserve"> </w:t>
      </w:r>
    </w:p>
    <w:p w14:paraId="0C3E6145" w14:textId="7A464820" w:rsidR="0064588F" w:rsidRDefault="00E2262B" w:rsidP="00BF6B40">
      <w:pPr>
        <w:spacing w:line="480" w:lineRule="auto"/>
      </w:pPr>
      <w:r w:rsidRPr="00E2262B">
        <w:t xml:space="preserve">The authors supposed that </w:t>
      </w:r>
      <w:r w:rsidR="001F07F2">
        <w:t>the pharmacokinetics of</w:t>
      </w:r>
      <w:r w:rsidR="001F07F2" w:rsidRPr="00E2262B">
        <w:t xml:space="preserve"> </w:t>
      </w:r>
      <w:r w:rsidR="001F07F2">
        <w:t>S-</w:t>
      </w:r>
      <w:r w:rsidR="001F07F2" w:rsidRPr="00E2262B">
        <w:t>ketamine</w:t>
      </w:r>
      <w:r w:rsidR="001F07F2">
        <w:t xml:space="preserve"> and</w:t>
      </w:r>
      <w:r w:rsidR="001F07F2" w:rsidRPr="00E2262B">
        <w:t xml:space="preserve"> </w:t>
      </w:r>
      <w:r w:rsidR="001F07F2">
        <w:t>S-norketamine</w:t>
      </w:r>
      <w:r w:rsidR="001F07F2" w:rsidRPr="00E2262B">
        <w:t xml:space="preserve"> </w:t>
      </w:r>
      <w:r w:rsidR="001F07F2">
        <w:t>could be different if S-ketamine is administered alone or as part of the commonly used racemic mixture.</w:t>
      </w:r>
      <w:r w:rsidR="001F07F2" w:rsidRPr="00E2262B">
        <w:t xml:space="preserve"> </w:t>
      </w:r>
      <w:r w:rsidR="001F07F2">
        <w:t xml:space="preserve"> In detail</w:t>
      </w:r>
      <w:r w:rsidR="003C65CB">
        <w:t xml:space="preserve">, </w:t>
      </w:r>
      <w:r w:rsidR="001F07F2">
        <w:t xml:space="preserve">based on their clinical experience, </w:t>
      </w:r>
      <w:r w:rsidR="003C65CB">
        <w:t xml:space="preserve">the authors expected that S-ketamine would be eliminated more rapidly </w:t>
      </w:r>
      <w:r w:rsidR="001F07F2">
        <w:t>when co-administered with the R- enantiomer.</w:t>
      </w:r>
      <w:r w:rsidRPr="00E2262B">
        <w:t>.</w:t>
      </w:r>
      <w:r w:rsidR="00245951">
        <w:t xml:space="preserve"> </w:t>
      </w:r>
      <w:r w:rsidR="007A5247" w:rsidRPr="007A5247">
        <w:t xml:space="preserve">The aims of this study were to measure plasma levels of R- and S-ketamine and their major metabolites R- and S- norketamine following single intravenous </w:t>
      </w:r>
      <w:r w:rsidR="00DC2E0A">
        <w:t xml:space="preserve">(IV) </w:t>
      </w:r>
      <w:r w:rsidR="007A5247" w:rsidRPr="007A5247">
        <w:t>bolus administration of racemic or S-ketamine in sevoflurane anaesthetised dogs and to calculate the relevant pharmacokinetic profiles.</w:t>
      </w:r>
    </w:p>
    <w:p w14:paraId="50265242" w14:textId="77777777" w:rsidR="00426080" w:rsidRPr="00E32F69" w:rsidRDefault="00426080" w:rsidP="00BF6B40">
      <w:pPr>
        <w:spacing w:line="480" w:lineRule="auto"/>
      </w:pPr>
    </w:p>
    <w:p w14:paraId="692E7EAC" w14:textId="77777777" w:rsidR="00426080" w:rsidRPr="00E32F69" w:rsidRDefault="00426080" w:rsidP="00BF6B40">
      <w:pPr>
        <w:spacing w:line="480" w:lineRule="auto"/>
        <w:outlineLvl w:val="0"/>
        <w:rPr>
          <w:b/>
          <w:bCs/>
        </w:rPr>
      </w:pPr>
      <w:r w:rsidRPr="00E32F69">
        <w:rPr>
          <w:b/>
          <w:bCs/>
        </w:rPr>
        <w:t>Materials and methods</w:t>
      </w:r>
    </w:p>
    <w:p w14:paraId="37BE7E60" w14:textId="77777777" w:rsidR="00426080" w:rsidRPr="00E32F69" w:rsidRDefault="007A5247" w:rsidP="00BF6B40">
      <w:pPr>
        <w:spacing w:line="480" w:lineRule="auto"/>
        <w:outlineLvl w:val="0"/>
        <w:rPr>
          <w:i/>
          <w:iCs/>
        </w:rPr>
      </w:pPr>
      <w:r>
        <w:rPr>
          <w:i/>
          <w:iCs/>
        </w:rPr>
        <w:t>Animal</w:t>
      </w:r>
      <w:r w:rsidR="00426080" w:rsidRPr="00E32F69">
        <w:rPr>
          <w:i/>
          <w:iCs/>
        </w:rPr>
        <w:t>s</w:t>
      </w:r>
    </w:p>
    <w:p w14:paraId="22030650" w14:textId="233AAC25" w:rsidR="004E1047" w:rsidRPr="00E32F69" w:rsidRDefault="007A5247" w:rsidP="00BF6B40">
      <w:pPr>
        <w:spacing w:line="480" w:lineRule="auto"/>
        <w:rPr>
          <w:iCs/>
        </w:rPr>
      </w:pPr>
      <w:r w:rsidRPr="007A5247">
        <w:rPr>
          <w:iCs/>
        </w:rPr>
        <w:t xml:space="preserve">The trial was approved by the committee for Animal Experimentation of the Canton of </w:t>
      </w:r>
      <w:r w:rsidR="00A5775F" w:rsidRPr="007A5247">
        <w:rPr>
          <w:iCs/>
        </w:rPr>
        <w:t>Z</w:t>
      </w:r>
      <w:r w:rsidR="00A5775F">
        <w:rPr>
          <w:iCs/>
        </w:rPr>
        <w:t>u</w:t>
      </w:r>
      <w:r w:rsidR="00A5775F" w:rsidRPr="007A5247">
        <w:rPr>
          <w:iCs/>
        </w:rPr>
        <w:t>rich</w:t>
      </w:r>
      <w:r w:rsidRPr="007A5247">
        <w:rPr>
          <w:iCs/>
        </w:rPr>
        <w:t xml:space="preserve">, Switzerland (67/2011). Six adult healthy beagle dogs, 3 </w:t>
      </w:r>
      <w:r w:rsidR="0054457E" w:rsidRPr="007A5247">
        <w:rPr>
          <w:iCs/>
        </w:rPr>
        <w:t>females</w:t>
      </w:r>
      <w:r w:rsidR="0054457E">
        <w:rPr>
          <w:iCs/>
        </w:rPr>
        <w:t xml:space="preserve"> and </w:t>
      </w:r>
      <w:r w:rsidRPr="007A5247">
        <w:rPr>
          <w:iCs/>
        </w:rPr>
        <w:t xml:space="preserve">3 </w:t>
      </w:r>
      <w:r w:rsidR="0054457E" w:rsidRPr="007A5247">
        <w:rPr>
          <w:iCs/>
        </w:rPr>
        <w:t>males</w:t>
      </w:r>
      <w:r w:rsidRPr="007A5247">
        <w:rPr>
          <w:iCs/>
        </w:rPr>
        <w:t xml:space="preserve"> (non-castrated), 38 (± 8) months of age and weighing 15.0 ±1.1 kg were used in the study. All the dogs were regularly checked for parasites and were vaccinated. Six days before the start of the experiments, blood cell counts were carried out and blood chemistry was checked. The weight of the individual dogs was evaluated the morning of the day the experiment was conducted. The dogs were fasted overnight before the experiment, but were given access to water ad libitum. The dogs were fed their standard diet once fully awake.</w:t>
      </w:r>
    </w:p>
    <w:p w14:paraId="09EFA450" w14:textId="77777777" w:rsidR="0064588F" w:rsidRDefault="007B492B" w:rsidP="00BF6B40">
      <w:pPr>
        <w:spacing w:line="480" w:lineRule="auto"/>
        <w:outlineLvl w:val="0"/>
        <w:rPr>
          <w:i/>
          <w:iCs/>
        </w:rPr>
      </w:pPr>
      <w:r w:rsidRPr="007B492B">
        <w:rPr>
          <w:i/>
          <w:iCs/>
        </w:rPr>
        <w:t>Study design, instrumentation and monitoring</w:t>
      </w:r>
    </w:p>
    <w:p w14:paraId="6A92FC92" w14:textId="09D7BA4B" w:rsidR="00375255" w:rsidRDefault="007B492B" w:rsidP="00BF6B40">
      <w:pPr>
        <w:spacing w:line="480" w:lineRule="auto"/>
        <w:rPr>
          <w:iCs/>
        </w:rPr>
      </w:pPr>
      <w:r w:rsidRPr="007B492B">
        <w:rPr>
          <w:iCs/>
        </w:rPr>
        <w:t>The study was designed as a prospective, blinded, randomised crossover trial.</w:t>
      </w:r>
      <w:r>
        <w:rPr>
          <w:iCs/>
        </w:rPr>
        <w:t xml:space="preserve"> </w:t>
      </w:r>
      <w:r w:rsidR="00375255">
        <w:rPr>
          <w:iCs/>
        </w:rPr>
        <w:t>General a</w:t>
      </w:r>
      <w:r w:rsidRPr="007B492B">
        <w:rPr>
          <w:iCs/>
        </w:rPr>
        <w:t>naesthesia</w:t>
      </w:r>
      <w:r w:rsidR="00375255">
        <w:rPr>
          <w:iCs/>
        </w:rPr>
        <w:t>,</w:t>
      </w:r>
      <w:r w:rsidRPr="007B492B">
        <w:rPr>
          <w:iCs/>
        </w:rPr>
        <w:t xml:space="preserve"> </w:t>
      </w:r>
      <w:r w:rsidR="00375255">
        <w:rPr>
          <w:iCs/>
        </w:rPr>
        <w:t xml:space="preserve">necessary to allow the instrumentation of each animal, </w:t>
      </w:r>
      <w:r w:rsidRPr="007B492B">
        <w:rPr>
          <w:iCs/>
        </w:rPr>
        <w:t xml:space="preserve">was induced via facemask using 8% sevoflurane in oxygen (4 L/min). Once unconscious, the tracheas of the dogs were </w:t>
      </w:r>
      <w:r w:rsidRPr="007B492B">
        <w:rPr>
          <w:iCs/>
        </w:rPr>
        <w:lastRenderedPageBreak/>
        <w:t xml:space="preserve">intubated. Anaesthesia was maintained with 1.4 MAC = 3 % (+/-0.2 %) endtidal (Et) sevoflurane in </w:t>
      </w:r>
      <w:r w:rsidR="00DE5A99">
        <w:rPr>
          <w:iCs/>
        </w:rPr>
        <w:t>oxygen and air (FiO</w:t>
      </w:r>
      <w:r w:rsidR="00DE5A99" w:rsidRPr="004B5098">
        <w:rPr>
          <w:iCs/>
          <w:vertAlign w:val="subscript"/>
        </w:rPr>
        <w:t>2</w:t>
      </w:r>
      <w:r w:rsidR="00DE5A99">
        <w:rPr>
          <w:iCs/>
        </w:rPr>
        <w:t xml:space="preserve"> 0.</w:t>
      </w:r>
      <w:r w:rsidRPr="007B492B">
        <w:rPr>
          <w:iCs/>
        </w:rPr>
        <w:t>35</w:t>
      </w:r>
      <w:r w:rsidR="00DE5A99">
        <w:rPr>
          <w:iCs/>
        </w:rPr>
        <w:t>)</w:t>
      </w:r>
      <w:r w:rsidRPr="007B492B">
        <w:rPr>
          <w:iCs/>
        </w:rPr>
        <w:t>. The dogs were artificially ventilated to maintain EtCO2 35 +/- 5 mmHg, inspiratory peak pressure 12 +/- 2 cm H2O using a semi-closed circle system (Avance S 5 -Datex Ohmeda, Anandic Medical, Feuerthalen, Switzerland).</w:t>
      </w:r>
    </w:p>
    <w:p w14:paraId="414A0388" w14:textId="341284F9" w:rsidR="00A5775F" w:rsidRDefault="0080320A" w:rsidP="00BF6B40">
      <w:pPr>
        <w:spacing w:line="480" w:lineRule="auto"/>
        <w:rPr>
          <w:iCs/>
        </w:rPr>
      </w:pPr>
      <w:r>
        <w:rPr>
          <w:iCs/>
        </w:rPr>
        <w:t>A</w:t>
      </w:r>
      <w:r w:rsidR="007B492B" w:rsidRPr="007B492B">
        <w:rPr>
          <w:iCs/>
        </w:rPr>
        <w:t>ll catheter sites were c</w:t>
      </w:r>
      <w:r w:rsidR="0046310C">
        <w:rPr>
          <w:iCs/>
        </w:rPr>
        <w:t xml:space="preserve">lipped and surgically prepared. </w:t>
      </w:r>
      <w:r w:rsidR="007B492B" w:rsidRPr="007B492B">
        <w:rPr>
          <w:iCs/>
        </w:rPr>
        <w:t>Instrumentation consisted of the application of two peripheral venous 22 G catheters (Surflo IV Catheter 22G x 1</w:t>
      </w:r>
      <w:r w:rsidR="0054457E">
        <w:rPr>
          <w:iCs/>
        </w:rPr>
        <w:t>”</w:t>
      </w:r>
      <w:r w:rsidR="007B492B" w:rsidRPr="007B492B">
        <w:rPr>
          <w:iCs/>
        </w:rPr>
        <w:t>; Terumo. Leuven, Belgium), one used to inject the test drugs and carry out fluid therapy, and the second in case of problems during blood collection from the central venous catheter.</w:t>
      </w:r>
      <w:r w:rsidR="007B492B">
        <w:rPr>
          <w:iCs/>
        </w:rPr>
        <w:t xml:space="preserve"> </w:t>
      </w:r>
      <w:r w:rsidR="00A5775F">
        <w:rPr>
          <w:iCs/>
        </w:rPr>
        <w:t>A</w:t>
      </w:r>
      <w:r w:rsidR="007B492B" w:rsidRPr="007B492B">
        <w:rPr>
          <w:iCs/>
        </w:rPr>
        <w:t>16 G x 16 cm long central venous catheter (Blue Flex Tip® Catheter, Arrow International, Teleflex Medical GmbH, Belp, Switzerland) was used to collect the blood samples for the pharmacokinetic analysis</w:t>
      </w:r>
      <w:r w:rsidR="00A5775F">
        <w:rPr>
          <w:iCs/>
        </w:rPr>
        <w:t>.</w:t>
      </w:r>
      <w:r w:rsidR="007B492B" w:rsidRPr="007B492B">
        <w:rPr>
          <w:iCs/>
        </w:rPr>
        <w:t xml:space="preserve"> </w:t>
      </w:r>
      <w:r w:rsidR="00A5775F" w:rsidRPr="007B492B">
        <w:rPr>
          <w:iCs/>
        </w:rPr>
        <w:t xml:space="preserve">For measurement of </w:t>
      </w:r>
      <w:r w:rsidR="00A5775F">
        <w:rPr>
          <w:iCs/>
        </w:rPr>
        <w:t xml:space="preserve">blood pressure and </w:t>
      </w:r>
      <w:r w:rsidR="00A5775F" w:rsidRPr="007B492B">
        <w:rPr>
          <w:iCs/>
        </w:rPr>
        <w:t>cardiac output using transpulmonary thermodilution (PiCCOplus, Software version 6.0, Pulsion Medical Systems, Munich, Germany) a 4-Fr 22 cm thermodilution catheter (PV2014L22N, Pulsion Medical Systems, Munich, Germany) was inserted to its full length into the femoral artery.</w:t>
      </w:r>
      <w:r w:rsidR="00A5775F">
        <w:rPr>
          <w:iCs/>
        </w:rPr>
        <w:t xml:space="preserve"> </w:t>
      </w:r>
      <w:r w:rsidR="007B492B" w:rsidRPr="007B492B">
        <w:rPr>
          <w:iCs/>
        </w:rPr>
        <w:t xml:space="preserve">As soon as the first peripheral venous catheter was inserted, 5 mL/kg/h lactated ringer solution were administered to maintain adequate blood volume. Heart rate (HR), intra-arterial blood pressures (systolic: SAP, mean: MAP, diastolic: DAP), </w:t>
      </w:r>
      <w:r w:rsidR="00CB3639">
        <w:rPr>
          <w:iCs/>
        </w:rPr>
        <w:t xml:space="preserve">cardiac output (CO), </w:t>
      </w:r>
      <w:r w:rsidR="007B492B" w:rsidRPr="007B492B">
        <w:rPr>
          <w:iCs/>
        </w:rPr>
        <w:t>composition of in- and expired gases and core body temperature were all measured continuously using a multiparameter monitor (BN 850, GE Medical Systems, Anandic Medical Systems AG, Diessenhofen, Switzerland). Body temperature was maintained at 37.5-38.5</w:t>
      </w:r>
      <w:r w:rsidR="0054457E">
        <w:rPr>
          <w:iCs/>
        </w:rPr>
        <w:t xml:space="preserve"> °</w:t>
      </w:r>
      <w:r w:rsidR="007B492B" w:rsidRPr="007B492B">
        <w:rPr>
          <w:iCs/>
        </w:rPr>
        <w:t xml:space="preserve">C with a warm water blanket underneath the dog and a warm air device </w:t>
      </w:r>
      <w:r w:rsidR="00CB3639">
        <w:rPr>
          <w:iCs/>
        </w:rPr>
        <w:t>(B</w:t>
      </w:r>
      <w:r w:rsidR="00CB3639" w:rsidRPr="00CB3639">
        <w:rPr>
          <w:iCs/>
        </w:rPr>
        <w:t xml:space="preserve">air </w:t>
      </w:r>
      <w:r w:rsidR="00CB3639">
        <w:rPr>
          <w:iCs/>
        </w:rPr>
        <w:t>H</w:t>
      </w:r>
      <w:r w:rsidR="00CB3639" w:rsidRPr="00CB3639">
        <w:rPr>
          <w:iCs/>
        </w:rPr>
        <w:t>ugger</w:t>
      </w:r>
      <w:r w:rsidR="00CB3639">
        <w:rPr>
          <w:iCs/>
        </w:rPr>
        <w:sym w:font="Symbol" w:char="F0D4"/>
      </w:r>
      <w:r w:rsidR="00CB3639">
        <w:rPr>
          <w:iCs/>
        </w:rPr>
        <w:t>, 3M, Milan, Italy</w:t>
      </w:r>
      <w:r w:rsidR="00CB3639" w:rsidRPr="00CB3639">
        <w:rPr>
          <w:iCs/>
        </w:rPr>
        <w:t>)</w:t>
      </w:r>
      <w:r w:rsidR="00CB3639">
        <w:rPr>
          <w:iCs/>
        </w:rPr>
        <w:t xml:space="preserve"> </w:t>
      </w:r>
      <w:r w:rsidR="007B492B" w:rsidRPr="007B492B">
        <w:rPr>
          <w:iCs/>
        </w:rPr>
        <w:t xml:space="preserve">to effect. </w:t>
      </w:r>
    </w:p>
    <w:p w14:paraId="76081D64" w14:textId="427A5957" w:rsidR="00A5775F" w:rsidRDefault="007B4855" w:rsidP="00BF6B40">
      <w:pPr>
        <w:spacing w:line="480" w:lineRule="auto"/>
        <w:rPr>
          <w:iCs/>
        </w:rPr>
      </w:pPr>
      <w:r w:rsidRPr="007B4855">
        <w:rPr>
          <w:iCs/>
        </w:rPr>
        <w:t>The first recording of measured parameters took place before test drug administration and 5, 15, 30, 45, 60, 120, 180 and 240</w:t>
      </w:r>
      <w:r w:rsidR="00F47F42">
        <w:rPr>
          <w:iCs/>
        </w:rPr>
        <w:t xml:space="preserve"> min</w:t>
      </w:r>
      <w:r w:rsidRPr="007B4855">
        <w:rPr>
          <w:iCs/>
        </w:rPr>
        <w:t xml:space="preserve"> after it.</w:t>
      </w:r>
      <w:r w:rsidR="00F47F42">
        <w:rPr>
          <w:iCs/>
        </w:rPr>
        <w:t xml:space="preserve"> </w:t>
      </w:r>
      <w:r w:rsidR="00A5775F" w:rsidRPr="007B4855">
        <w:rPr>
          <w:iCs/>
        </w:rPr>
        <w:t xml:space="preserve">Arterial blood was sampled anaerobically using specifically designed blood gas syringes (BD A-Line® Blutgasspritze, Becton Dickinson AG, Allschwil, Switzerland). Analysis of blood gases and pH </w:t>
      </w:r>
      <w:r w:rsidR="003D52F0">
        <w:rPr>
          <w:iCs/>
        </w:rPr>
        <w:t xml:space="preserve">as well as </w:t>
      </w:r>
      <w:r w:rsidR="003D52F0" w:rsidRPr="007B4855">
        <w:rPr>
          <w:iCs/>
        </w:rPr>
        <w:t xml:space="preserve">sodium (Na), potassium </w:t>
      </w:r>
      <w:r w:rsidR="003D52F0" w:rsidRPr="007B4855">
        <w:rPr>
          <w:iCs/>
        </w:rPr>
        <w:lastRenderedPageBreak/>
        <w:t xml:space="preserve">(K), chloride (Cl), calcium (Ca) and lactate concentrations </w:t>
      </w:r>
      <w:r w:rsidR="00A5775F" w:rsidRPr="007B4855">
        <w:rPr>
          <w:iCs/>
        </w:rPr>
        <w:t>w</w:t>
      </w:r>
      <w:r w:rsidR="003D52F0">
        <w:rPr>
          <w:iCs/>
        </w:rPr>
        <w:t>ere</w:t>
      </w:r>
      <w:r w:rsidR="00A5775F" w:rsidRPr="007B4855">
        <w:rPr>
          <w:iCs/>
        </w:rPr>
        <w:t xml:space="preserve"> immediately performed using a blood gas analyser with co</w:t>
      </w:r>
      <w:r w:rsidR="008F0862">
        <w:rPr>
          <w:iCs/>
        </w:rPr>
        <w:t>-</w:t>
      </w:r>
      <w:r w:rsidR="00A5775F" w:rsidRPr="007B4855">
        <w:rPr>
          <w:iCs/>
        </w:rPr>
        <w:t>ox</w:t>
      </w:r>
      <w:r w:rsidR="008F0862">
        <w:rPr>
          <w:iCs/>
        </w:rPr>
        <w:t>y</w:t>
      </w:r>
      <w:r w:rsidR="00A5775F" w:rsidRPr="007B4855">
        <w:rPr>
          <w:iCs/>
        </w:rPr>
        <w:t>metry (Radiometer, ABL 700 Series, Radiometer Gmb</w:t>
      </w:r>
      <w:r w:rsidR="00AE0A74">
        <w:rPr>
          <w:iCs/>
        </w:rPr>
        <w:t>H, 8800 Thalwil, Switzerland).</w:t>
      </w:r>
      <w:r w:rsidR="00A5775F">
        <w:rPr>
          <w:iCs/>
        </w:rPr>
        <w:t xml:space="preserve"> </w:t>
      </w:r>
    </w:p>
    <w:p w14:paraId="305C7366" w14:textId="1C6CD397" w:rsidR="00A5775F" w:rsidRDefault="00F47F42" w:rsidP="00BF6B40">
      <w:pPr>
        <w:spacing w:line="480" w:lineRule="auto"/>
        <w:rPr>
          <w:iCs/>
        </w:rPr>
      </w:pPr>
      <w:r>
        <w:rPr>
          <w:iCs/>
        </w:rPr>
        <w:t>After 240 min</w:t>
      </w:r>
      <w:r w:rsidR="00A5775F">
        <w:rPr>
          <w:iCs/>
        </w:rPr>
        <w:t xml:space="preserve"> </w:t>
      </w:r>
      <w:r w:rsidR="007B4855" w:rsidRPr="007B4855">
        <w:rPr>
          <w:iCs/>
        </w:rPr>
        <w:t>all but the central venous catheter and the peripheral venous catheter not used for drug administration were removed and the dogs allowed to recover</w:t>
      </w:r>
      <w:r w:rsidR="00A5775F">
        <w:rPr>
          <w:iCs/>
        </w:rPr>
        <w:t>.</w:t>
      </w:r>
    </w:p>
    <w:p w14:paraId="4F88B014" w14:textId="77777777" w:rsidR="007B4855" w:rsidRDefault="007B4855" w:rsidP="00BF6B40">
      <w:pPr>
        <w:spacing w:line="480" w:lineRule="auto"/>
        <w:outlineLvl w:val="0"/>
        <w:rPr>
          <w:i/>
          <w:iCs/>
        </w:rPr>
      </w:pPr>
      <w:r w:rsidRPr="007B4855">
        <w:rPr>
          <w:i/>
          <w:iCs/>
        </w:rPr>
        <w:t>Drug admin</w:t>
      </w:r>
      <w:r>
        <w:rPr>
          <w:i/>
          <w:iCs/>
        </w:rPr>
        <w:t>istration and sample collection</w:t>
      </w:r>
    </w:p>
    <w:p w14:paraId="49D7C3A2" w14:textId="565355E1" w:rsidR="007B4855" w:rsidRPr="007B4855" w:rsidRDefault="007B4855" w:rsidP="00BF6B40">
      <w:pPr>
        <w:spacing w:line="480" w:lineRule="auto"/>
        <w:rPr>
          <w:iCs/>
        </w:rPr>
      </w:pPr>
      <w:r w:rsidRPr="007B4855">
        <w:rPr>
          <w:iCs/>
        </w:rPr>
        <w:t xml:space="preserve">Three mL of blood were sampled into heparinised tubes before any treatment (T0) and were centrifuged immediately. Plasma was stored at -80 °C until the assay was carried out. Following instrumentation under sevoflurane anaesthesia, a single </w:t>
      </w:r>
      <w:r w:rsidR="00DC2E0A">
        <w:rPr>
          <w:iCs/>
        </w:rPr>
        <w:t>IV</w:t>
      </w:r>
      <w:r w:rsidRPr="007B4855">
        <w:rPr>
          <w:iCs/>
        </w:rPr>
        <w:t xml:space="preserve"> bolus of racemic ketamine 4 mg/kg (RS-KET group, 100mg/ml, Dr. E. Graeub AG, Bern) or S-ketamine 2 mg/kg (S-KET group, 50mg/ml, Dr. E. Graeub AG, Bern) was administered</w:t>
      </w:r>
      <w:r w:rsidR="003D52F0">
        <w:rPr>
          <w:iCs/>
        </w:rPr>
        <w:t>. After</w:t>
      </w:r>
      <w:r w:rsidRPr="007B4855">
        <w:rPr>
          <w:iCs/>
        </w:rPr>
        <w:t xml:space="preserve"> a three-week washout period</w:t>
      </w:r>
      <w:r w:rsidR="003D52F0">
        <w:rPr>
          <w:iCs/>
        </w:rPr>
        <w:t xml:space="preserve">, each dog </w:t>
      </w:r>
      <w:r w:rsidR="00721015">
        <w:rPr>
          <w:iCs/>
        </w:rPr>
        <w:t>underwent the same procedure but receiving the other dissociative agent</w:t>
      </w:r>
      <w:r w:rsidRPr="007B4855">
        <w:rPr>
          <w:iCs/>
        </w:rPr>
        <w:t>.</w:t>
      </w:r>
      <w:r w:rsidR="00C64A9E">
        <w:rPr>
          <w:iCs/>
        </w:rPr>
        <w:t xml:space="preserve"> </w:t>
      </w:r>
      <w:r w:rsidRPr="007B4855">
        <w:rPr>
          <w:iCs/>
        </w:rPr>
        <w:t>Three mL of venous blood was collected from the central venous catheter and transferred to labelled heparinised tubes (BD 3.5 mL Vacutainer, LH PST, REF 367374, Becton Dickinson, Temse, Belgium) at fixed times: 1, 2, 5, 10, 15, 20, 30, 45, 60, 75, 90, 105, 120, 150, 180, 210, 240, 300, 360, 450, 540, 630, 720, 810 and 900 mi</w:t>
      </w:r>
      <w:r w:rsidR="00F47F42">
        <w:rPr>
          <w:iCs/>
        </w:rPr>
        <w:t>n</w:t>
      </w:r>
      <w:r w:rsidRPr="007B4855">
        <w:rPr>
          <w:iCs/>
        </w:rPr>
        <w:t xml:space="preserve"> after drug injection. To avoid contamination with the venous flushing solution, 5 mL of blood were collected before each sampling and re-injected thereafter. The venous catheter was flushed with 5 mL of physiologic 0.9% saline solution. Immediately after collection, the samples were kept at 4 °C until centrifugation (maximum 1 hour); plasma samples were frozen at -80 °C until the assay was carried out. </w:t>
      </w:r>
    </w:p>
    <w:p w14:paraId="3FCB300E" w14:textId="5E6EA58A" w:rsidR="007B4855" w:rsidRPr="007B492B" w:rsidRDefault="007B4855" w:rsidP="00BF6B40">
      <w:pPr>
        <w:spacing w:line="480" w:lineRule="auto"/>
        <w:rPr>
          <w:iCs/>
        </w:rPr>
      </w:pPr>
      <w:r w:rsidRPr="007B4855">
        <w:rPr>
          <w:iCs/>
        </w:rPr>
        <w:t xml:space="preserve">At the end of the anaesthesia, all dogs received 22 mg/kg cefazoline (Kefzol®, Teva Pharma AG, Aesch, Switzerland) and 4 mg/kg carprofen (Rimadyl® ad us. vet., Pfizer, Zurich, Switzerland) IV. After the last blood sample was collected, the remaining catheters were removed. If the dogs were completely </w:t>
      </w:r>
      <w:r w:rsidR="00DC2E0A">
        <w:rPr>
          <w:iCs/>
        </w:rPr>
        <w:t>unremarkable</w:t>
      </w:r>
      <w:r w:rsidR="00DC2E0A" w:rsidRPr="007B4855">
        <w:rPr>
          <w:iCs/>
        </w:rPr>
        <w:t xml:space="preserve"> </w:t>
      </w:r>
      <w:r w:rsidRPr="007B4855">
        <w:rPr>
          <w:iCs/>
        </w:rPr>
        <w:t xml:space="preserve">(assessed by an experienced </w:t>
      </w:r>
      <w:r w:rsidRPr="007B4855">
        <w:rPr>
          <w:iCs/>
        </w:rPr>
        <w:lastRenderedPageBreak/>
        <w:t>veterinarian), they were returned to their normal surroundings the following day</w:t>
      </w:r>
      <w:r w:rsidR="00721015">
        <w:rPr>
          <w:iCs/>
        </w:rPr>
        <w:t xml:space="preserve"> and </w:t>
      </w:r>
      <w:r w:rsidRPr="007B4855">
        <w:rPr>
          <w:iCs/>
        </w:rPr>
        <w:t>checked twice daily for abnormal behaviour and body temperature</w:t>
      </w:r>
      <w:r w:rsidR="00721015">
        <w:rPr>
          <w:iCs/>
        </w:rPr>
        <w:t xml:space="preserve"> for three days</w:t>
      </w:r>
      <w:r w:rsidRPr="007B4855">
        <w:rPr>
          <w:iCs/>
        </w:rPr>
        <w:t>.</w:t>
      </w:r>
    </w:p>
    <w:p w14:paraId="106BF0CF" w14:textId="77777777" w:rsidR="0064588F" w:rsidRDefault="00C64A9E" w:rsidP="00BF6B40">
      <w:pPr>
        <w:spacing w:line="480" w:lineRule="auto"/>
        <w:outlineLvl w:val="0"/>
      </w:pPr>
      <w:r w:rsidRPr="00C64A9E">
        <w:rPr>
          <w:i/>
          <w:iCs/>
        </w:rPr>
        <w:t>Analysis of the plasma concentrations of ketamine and norketamine enantiomers</w:t>
      </w:r>
    </w:p>
    <w:p w14:paraId="1801E2FC" w14:textId="77777777" w:rsidR="00C64A9E" w:rsidRDefault="00C64A9E" w:rsidP="00BF6B40">
      <w:pPr>
        <w:spacing w:line="480" w:lineRule="auto"/>
      </w:pPr>
      <w:r>
        <w:t>The plasma samples were analysed using liquid chromatography coupled with tandem mass spectrometry (LC-MS/MS). A simple and quick extraction was performed using the technique described by Sergi et al. (2009), with slight modifications. After being thawed at room temperature, 150 μL of plasma were transferred to a microtube, then internal standards (Ketamine</w:t>
      </w:r>
      <w:r>
        <w:rPr>
          <w:rFonts w:ascii="Cambria Math" w:hAnsi="Cambria Math" w:cs="Cambria Math"/>
        </w:rPr>
        <w:t>‐</w:t>
      </w:r>
      <w:r>
        <w:t>D4 and Norketamine</w:t>
      </w:r>
      <w:r>
        <w:rPr>
          <w:rFonts w:ascii="Cambria Math" w:hAnsi="Cambria Math" w:cs="Cambria Math"/>
        </w:rPr>
        <w:t>‐</w:t>
      </w:r>
      <w:r>
        <w:t>D4, purchased from Sigma-Aldrich, St.Louis, MO, USA) and methanol were added, in order to obtain a total volume of 1.0 mL. The sample was then vortex-mixed for 30 sec, placed into an ultrasonic bath for 2 min and centrifuged at 8’000 ×g for 5 min. The supernatant was finally filtered through a 0.2 μm PTFE filter (Phenomenex, Torrance, CA</w:t>
      </w:r>
      <w:r w:rsidR="00E3095A">
        <w:t>, USA</w:t>
      </w:r>
      <w:r>
        <w:t>) prior to analysis.</w:t>
      </w:r>
    </w:p>
    <w:p w14:paraId="55478604" w14:textId="17DB40DC" w:rsidR="00C64A9E" w:rsidRDefault="00C64A9E" w:rsidP="00BF6B40">
      <w:pPr>
        <w:spacing w:line="480" w:lineRule="auto"/>
      </w:pPr>
      <w:r>
        <w:t>The LC system consisted of a Waters Aquity UPLC binary pump (Waters, Milford, MA, USA), equipped with a Phenomenex Lux 3u Cellulose</w:t>
      </w:r>
      <w:r>
        <w:rPr>
          <w:rFonts w:ascii="Cambria Math" w:hAnsi="Cambria Math" w:cs="Cambria Math"/>
        </w:rPr>
        <w:t>‐</w:t>
      </w:r>
      <w:r>
        <w:t>3 (150 × 2.00 mm, 3.0 μm) column (Phenomenex, Torrance, CA, USA) kept at 45 °C. The mobile phase consisted of a mixture of acetonitrile and an aqueous solution containing 20 mM ammonium acetate and 0.1% ammonium formate, at a flow rate of 0.450 mL/min under programmed conditions, in order to obtain satisfactory separations of the two enantiomers of each compound. The LC was interfaced to a Waters Quattro Premier XE triple quadrup</w:t>
      </w:r>
      <w:r w:rsidR="00602271">
        <w:t>o</w:t>
      </w:r>
      <w:r>
        <w:t>le mass spectrometer (Waters, Milford, MA</w:t>
      </w:r>
      <w:r w:rsidR="003B38F7">
        <w:t>, USA</w:t>
      </w:r>
      <w:r>
        <w:t>), operating in positive electrospray ionisation (ESI+) and in MRM (multiple reaction monitoring) mode. The specific transitions observed were: ketamine, m/z 238 → 125 and 179; ketamine</w:t>
      </w:r>
      <w:r>
        <w:rPr>
          <w:rFonts w:ascii="Cambria Math" w:hAnsi="Cambria Math" w:cs="Cambria Math"/>
        </w:rPr>
        <w:t>‐</w:t>
      </w:r>
      <w:r>
        <w:t>D4, m/z 242 → 129 and 183; norketamine, 224 → m/z 125; norketamine</w:t>
      </w:r>
      <w:r>
        <w:rPr>
          <w:rFonts w:ascii="Cambria Math" w:hAnsi="Cambria Math" w:cs="Cambria Math"/>
        </w:rPr>
        <w:t>‐</w:t>
      </w:r>
      <w:r>
        <w:t xml:space="preserve">D4, m/z 228 → 129. The capillary voltage was set at 3.00 kV, and the source </w:t>
      </w:r>
      <w:r w:rsidR="00904D31">
        <w:t xml:space="preserve">temperature </w:t>
      </w:r>
      <w:r>
        <w:t>w</w:t>
      </w:r>
      <w:r w:rsidR="00904D31">
        <w:t>as</w:t>
      </w:r>
      <w:r>
        <w:t xml:space="preserve"> 120 °C.</w:t>
      </w:r>
    </w:p>
    <w:p w14:paraId="2AE0EEE5" w14:textId="77777777" w:rsidR="00426080" w:rsidRPr="00E32F69" w:rsidRDefault="00C64A9E" w:rsidP="00BF6B40">
      <w:pPr>
        <w:spacing w:line="480" w:lineRule="auto"/>
      </w:pPr>
      <w:r>
        <w:lastRenderedPageBreak/>
        <w:t>The analytical method was validated in accordance with the EMEA/CHMP/EWP/192217/2009 guidelines at the beginning of the experiment. The linearity was satisfactory (R2 &gt; 0.99) over a range from 5 to 8’000 ng/mL for both S-ketamine and R-ketamine, and from 5 to 1’600 ng/mL for the norketamine enantiomers. The lower limit of quantification (LLOQ) was 5 ng/mL for all target compounds; interday and intraday accuracy and precision, expressed as relative standard deviation (SD) (n=9), were below 15%.</w:t>
      </w:r>
    </w:p>
    <w:p w14:paraId="44C74567" w14:textId="77777777" w:rsidR="00426080" w:rsidRPr="00E32F69" w:rsidRDefault="00426080" w:rsidP="00BF6B40">
      <w:pPr>
        <w:spacing w:line="480" w:lineRule="auto"/>
        <w:outlineLvl w:val="0"/>
        <w:rPr>
          <w:i/>
        </w:rPr>
      </w:pPr>
      <w:r w:rsidRPr="00E32F69">
        <w:rPr>
          <w:i/>
        </w:rPr>
        <w:t xml:space="preserve">Statistical </w:t>
      </w:r>
      <w:r w:rsidR="00C64A9E">
        <w:rPr>
          <w:i/>
        </w:rPr>
        <w:t>analysis</w:t>
      </w:r>
    </w:p>
    <w:p w14:paraId="5E04F9F6" w14:textId="0E16ADD8" w:rsidR="008366D4" w:rsidRDefault="008366D4" w:rsidP="00BF6B40">
      <w:pPr>
        <w:spacing w:line="480" w:lineRule="auto"/>
      </w:pPr>
      <w:r>
        <w:t>C</w:t>
      </w:r>
      <w:r w:rsidRPr="008366D4">
        <w:t>ardiopulmonary parameters and arterial blood gas data</w:t>
      </w:r>
      <w:r>
        <w:t xml:space="preserve"> are reported as mean ± SD; for these parameters,</w:t>
      </w:r>
      <w:r w:rsidRPr="008366D4">
        <w:t xml:space="preserve"> a linear mixed effects model approach was performed using the software package R version 2.14.0 (R Development Core Team, 2011) and the package </w:t>
      </w:r>
      <w:r w:rsidR="0088649A">
        <w:t>NLME</w:t>
      </w:r>
      <w:r w:rsidRPr="008366D4">
        <w:t xml:space="preserve"> (Pinheiro et al., 2011)</w:t>
      </w:r>
      <w:r>
        <w:t>,</w:t>
      </w:r>
      <w:r w:rsidRPr="008366D4">
        <w:t xml:space="preserve"> to detect differences between the RS-KET and the S-KET treatment groups before and after test drug administration. </w:t>
      </w:r>
    </w:p>
    <w:p w14:paraId="2BBE5071" w14:textId="74272DD8" w:rsidR="00C64A9E" w:rsidRDefault="00C64A9E" w:rsidP="00BF6B40">
      <w:pPr>
        <w:spacing w:line="480" w:lineRule="auto"/>
      </w:pPr>
      <w:r>
        <w:t>The R-ketamine and S-ketamine concentration vs. time curves were analysed for each individual by XY plot using WinNonlin 6.3</w:t>
      </w:r>
      <w:r w:rsidR="0088649A">
        <w:t xml:space="preserve"> software</w:t>
      </w:r>
      <w:r>
        <w:t xml:space="preserve"> (Pharsight Corporation, Mountain View, CA, USA). The Wilcoxon rank test with Bonferroni correction was used to compare the concentrations of ketamine and norketamine</w:t>
      </w:r>
      <w:r w:rsidR="009D46A7">
        <w:t xml:space="preserve"> enantiomers</w:t>
      </w:r>
      <w:r>
        <w:t xml:space="preserve"> between the two different groups (the RS-KET group and the S-KET group) as well as to compare the calculated pharmacokinetic parameters between groups. The significance level was fixed at p&lt;0.05. The statistical analysis was carried out using computer software (Med-Calc 12.7.5, MedCalc Software, Acacialaan 22, B-8400 Ostend, Belgium).</w:t>
      </w:r>
    </w:p>
    <w:p w14:paraId="676DB60E" w14:textId="3C778AE7" w:rsidR="00D75538" w:rsidRPr="00D75538" w:rsidRDefault="00C64A9E" w:rsidP="00D75538">
      <w:pPr>
        <w:spacing w:line="480" w:lineRule="auto"/>
        <w:rPr>
          <w:iCs/>
        </w:rPr>
      </w:pPr>
      <w:r>
        <w:t xml:space="preserve">Plasma concentrations obtained after IV administration were fitted using the following equation: C(t) = A e-αt + B e-β. All pharmacokinetic parameters were reported as mean ± </w:t>
      </w:r>
      <w:r w:rsidR="008C2675">
        <w:t>SD</w:t>
      </w:r>
      <w:r>
        <w:t xml:space="preserve"> and were determined using WinNonlin 6.3 (Pharsight Corporation, Mountain View, CA, USA). The individual plasma concentration-versus-time curves were fitted and the best </w:t>
      </w:r>
      <w:r>
        <w:lastRenderedPageBreak/>
        <w:t>compartment model was determined by application of the Akaike information criterion and Schwartz criterion (Schwartz 1978; Yamaoka et al. 1978). The following pharmacokinetic parameters were evaluated for ketamine enantiomers: AUC0→∞ (the area under the curve to infinity), T1/2el (the half</w:t>
      </w:r>
      <w:r w:rsidR="00904D31">
        <w:t>-</w:t>
      </w:r>
      <w:r>
        <w:t xml:space="preserve">life of the elimination phase), Kel (the rate constants of the elimination phase); MRT (mean residence time), ClB (body clearance), Vc (volume of distribution for the central compartment); Cmax (peak metabolite concentration) and Tmax (time of peak metabolite concentration). </w:t>
      </w:r>
      <w:r w:rsidR="00D75538" w:rsidRPr="00D75538">
        <w:rPr>
          <w:iCs/>
        </w:rPr>
        <w:t>For S-norketamine and R-norketamine, non-compartmental analysis was used to determine AUC, Cmax and Tmax. The pharmacokinetic parameters were calculated for each dog.</w:t>
      </w:r>
    </w:p>
    <w:p w14:paraId="3565BF5D" w14:textId="77777777" w:rsidR="00426080" w:rsidRDefault="00426080" w:rsidP="00BF6B40">
      <w:pPr>
        <w:spacing w:line="480" w:lineRule="auto"/>
        <w:rPr>
          <w:iCs/>
        </w:rPr>
      </w:pPr>
    </w:p>
    <w:p w14:paraId="1B6B2476" w14:textId="77777777" w:rsidR="00426080" w:rsidRDefault="00426080" w:rsidP="00BF6B40">
      <w:pPr>
        <w:spacing w:line="480" w:lineRule="auto"/>
        <w:outlineLvl w:val="0"/>
        <w:rPr>
          <w:b/>
          <w:iCs/>
        </w:rPr>
      </w:pPr>
      <w:r w:rsidRPr="00E32F69">
        <w:rPr>
          <w:b/>
          <w:iCs/>
        </w:rPr>
        <w:t>Results</w:t>
      </w:r>
    </w:p>
    <w:p w14:paraId="786275E4" w14:textId="77777777" w:rsidR="00C64A9E" w:rsidRPr="00C64A9E" w:rsidRDefault="00C64A9E" w:rsidP="00BF6B40">
      <w:pPr>
        <w:spacing w:line="480" w:lineRule="auto"/>
        <w:outlineLvl w:val="0"/>
        <w:rPr>
          <w:i/>
        </w:rPr>
      </w:pPr>
      <w:r w:rsidRPr="00A87B25">
        <w:rPr>
          <w:i/>
          <w:lang w:val="en-GB"/>
        </w:rPr>
        <w:t>Animals and anaesthesia</w:t>
      </w:r>
    </w:p>
    <w:p w14:paraId="7451A06A" w14:textId="26E92C4E" w:rsidR="00426080" w:rsidRDefault="00C64A9E" w:rsidP="00BF6B40">
      <w:pPr>
        <w:spacing w:line="480" w:lineRule="auto"/>
        <w:rPr>
          <w:iCs/>
        </w:rPr>
      </w:pPr>
      <w:r w:rsidRPr="00C64A9E">
        <w:rPr>
          <w:iCs/>
        </w:rPr>
        <w:t xml:space="preserve">The test drugs were administered 178 ± 59.5 min </w:t>
      </w:r>
      <w:r w:rsidR="009D46A7">
        <w:rPr>
          <w:iCs/>
        </w:rPr>
        <w:t>(</w:t>
      </w:r>
      <w:r w:rsidRPr="00C64A9E">
        <w:rPr>
          <w:iCs/>
        </w:rPr>
        <w:t>RS-KET group</w:t>
      </w:r>
      <w:r w:rsidR="009D46A7">
        <w:rPr>
          <w:iCs/>
        </w:rPr>
        <w:t>)</w:t>
      </w:r>
      <w:r w:rsidRPr="00C64A9E">
        <w:rPr>
          <w:iCs/>
        </w:rPr>
        <w:t xml:space="preserve"> and 178 ± 39.1 min </w:t>
      </w:r>
      <w:r w:rsidR="009D46A7">
        <w:rPr>
          <w:iCs/>
        </w:rPr>
        <w:t>(</w:t>
      </w:r>
      <w:r w:rsidRPr="00C64A9E">
        <w:rPr>
          <w:iCs/>
        </w:rPr>
        <w:t>S-KET group</w:t>
      </w:r>
      <w:r w:rsidR="009D46A7">
        <w:rPr>
          <w:iCs/>
        </w:rPr>
        <w:t>)</w:t>
      </w:r>
      <w:r w:rsidRPr="00C64A9E">
        <w:rPr>
          <w:iCs/>
        </w:rPr>
        <w:t xml:space="preserve"> after </w:t>
      </w:r>
      <w:r w:rsidR="00375255">
        <w:rPr>
          <w:iCs/>
        </w:rPr>
        <w:t xml:space="preserve">general </w:t>
      </w:r>
      <w:r w:rsidRPr="00C64A9E">
        <w:rPr>
          <w:iCs/>
        </w:rPr>
        <w:t>anaesthesia induction</w:t>
      </w:r>
      <w:r w:rsidR="00375255">
        <w:rPr>
          <w:iCs/>
        </w:rPr>
        <w:t xml:space="preserve"> (period required for dog instrumentation)</w:t>
      </w:r>
      <w:r w:rsidRPr="00C64A9E">
        <w:rPr>
          <w:iCs/>
        </w:rPr>
        <w:t xml:space="preserve">. The sevoflurane administration was stopped </w:t>
      </w:r>
      <w:r w:rsidR="0058608B">
        <w:rPr>
          <w:iCs/>
        </w:rPr>
        <w:t>4</w:t>
      </w:r>
      <w:r w:rsidR="0058608B" w:rsidRPr="00C64A9E">
        <w:rPr>
          <w:iCs/>
        </w:rPr>
        <w:t xml:space="preserve">15 </w:t>
      </w:r>
      <w:r w:rsidRPr="00C64A9E">
        <w:rPr>
          <w:iCs/>
        </w:rPr>
        <w:t>± 21.7</w:t>
      </w:r>
      <w:r w:rsidR="0058608B">
        <w:rPr>
          <w:iCs/>
        </w:rPr>
        <w:t xml:space="preserve"> and</w:t>
      </w:r>
      <w:r w:rsidRPr="00C64A9E">
        <w:rPr>
          <w:iCs/>
        </w:rPr>
        <w:t xml:space="preserve"> </w:t>
      </w:r>
      <w:r w:rsidR="0058608B">
        <w:rPr>
          <w:iCs/>
        </w:rPr>
        <w:t>4</w:t>
      </w:r>
      <w:r w:rsidR="0058608B" w:rsidRPr="00C64A9E">
        <w:rPr>
          <w:iCs/>
        </w:rPr>
        <w:t>12 ± 19.8</w:t>
      </w:r>
      <w:r w:rsidR="0058608B">
        <w:rPr>
          <w:iCs/>
        </w:rPr>
        <w:t xml:space="preserve"> </w:t>
      </w:r>
      <w:r w:rsidRPr="00C64A9E">
        <w:rPr>
          <w:iCs/>
        </w:rPr>
        <w:t>min</w:t>
      </w:r>
      <w:r w:rsidR="0058608B">
        <w:rPr>
          <w:iCs/>
        </w:rPr>
        <w:t xml:space="preserve"> after the general anesthesia induction</w:t>
      </w:r>
      <w:r w:rsidR="00401542">
        <w:rPr>
          <w:iCs/>
        </w:rPr>
        <w:t xml:space="preserve"> in the RS-KET group and</w:t>
      </w:r>
      <w:r w:rsidRPr="00C64A9E">
        <w:rPr>
          <w:iCs/>
        </w:rPr>
        <w:t xml:space="preserve"> in the S-KET </w:t>
      </w:r>
      <w:r>
        <w:rPr>
          <w:iCs/>
        </w:rPr>
        <w:t>group</w:t>
      </w:r>
      <w:r w:rsidR="0058608B">
        <w:rPr>
          <w:iCs/>
        </w:rPr>
        <w:t>, respectively</w:t>
      </w:r>
      <w:r>
        <w:rPr>
          <w:iCs/>
        </w:rPr>
        <w:t xml:space="preserve">. All dogs recovered well </w:t>
      </w:r>
      <w:r w:rsidRPr="00C64A9E">
        <w:rPr>
          <w:iCs/>
        </w:rPr>
        <w:t>from anaesthesia and were full</w:t>
      </w:r>
      <w:r w:rsidR="00483E62">
        <w:rPr>
          <w:iCs/>
        </w:rPr>
        <w:t>y</w:t>
      </w:r>
      <w:r w:rsidRPr="00C64A9E">
        <w:rPr>
          <w:iCs/>
        </w:rPr>
        <w:t xml:space="preserve"> awake within 67.3 ± 13.5 min in the RS-KET group and in 87.8 ± 28.5 min in the S-KET group after the end of sevoflurane administration. One dog in the RS-KET showed transitory laryngospasm at recovery, wh</w:t>
      </w:r>
      <w:r>
        <w:rPr>
          <w:iCs/>
        </w:rPr>
        <w:t>ich resolved without treatment.</w:t>
      </w:r>
    </w:p>
    <w:p w14:paraId="334C6A2E" w14:textId="2FA2DE8D" w:rsidR="00C64A9E" w:rsidRPr="00C64A9E" w:rsidRDefault="00C64A9E" w:rsidP="00BF6B40">
      <w:pPr>
        <w:spacing w:line="480" w:lineRule="auto"/>
        <w:outlineLvl w:val="0"/>
        <w:rPr>
          <w:i/>
        </w:rPr>
      </w:pPr>
      <w:r w:rsidRPr="00C64A9E">
        <w:rPr>
          <w:i/>
          <w:lang w:val="en-GB"/>
        </w:rPr>
        <w:t xml:space="preserve">Cardiopulmonary parameters, </w:t>
      </w:r>
      <w:r w:rsidR="0058608B">
        <w:rPr>
          <w:i/>
          <w:lang w:val="en-GB"/>
        </w:rPr>
        <w:t>p</w:t>
      </w:r>
      <w:r w:rsidR="0058608B" w:rsidRPr="00C64A9E">
        <w:rPr>
          <w:i/>
          <w:lang w:val="en-GB"/>
        </w:rPr>
        <w:t>H</w:t>
      </w:r>
      <w:r w:rsidRPr="00C64A9E">
        <w:rPr>
          <w:i/>
          <w:lang w:val="en-GB"/>
        </w:rPr>
        <w:t>, blood gases and electrolytes</w:t>
      </w:r>
    </w:p>
    <w:p w14:paraId="15922847" w14:textId="37F03D87" w:rsidR="00C64A9E" w:rsidRPr="00C64A9E" w:rsidRDefault="00C64A9E" w:rsidP="00BF6B40">
      <w:pPr>
        <w:spacing w:line="480" w:lineRule="auto"/>
        <w:rPr>
          <w:iCs/>
        </w:rPr>
      </w:pPr>
      <w:r w:rsidRPr="00C64A9E">
        <w:rPr>
          <w:iCs/>
        </w:rPr>
        <w:t>The cardiovascular parameters (HR, SAP, MAP</w:t>
      </w:r>
      <w:r w:rsidR="003B38F7">
        <w:rPr>
          <w:iCs/>
        </w:rPr>
        <w:t xml:space="preserve">, </w:t>
      </w:r>
      <w:r w:rsidRPr="00C64A9E">
        <w:rPr>
          <w:iCs/>
        </w:rPr>
        <w:t>DAP</w:t>
      </w:r>
      <w:r w:rsidR="003B38F7">
        <w:rPr>
          <w:iCs/>
        </w:rPr>
        <w:t xml:space="preserve"> and CO</w:t>
      </w:r>
      <w:r w:rsidRPr="00C64A9E">
        <w:rPr>
          <w:iCs/>
        </w:rPr>
        <w:t xml:space="preserve">) as well as the results of blood gas analysis are </w:t>
      </w:r>
      <w:r w:rsidRPr="00F66797">
        <w:rPr>
          <w:iCs/>
        </w:rPr>
        <w:t xml:space="preserve">reported in </w:t>
      </w:r>
      <w:r w:rsidR="00F66797" w:rsidRPr="00F66797">
        <w:rPr>
          <w:iCs/>
        </w:rPr>
        <w:t>T</w:t>
      </w:r>
      <w:r w:rsidRPr="00F66797">
        <w:rPr>
          <w:iCs/>
        </w:rPr>
        <w:t>able 1. No</w:t>
      </w:r>
      <w:r w:rsidRPr="00C64A9E">
        <w:rPr>
          <w:iCs/>
        </w:rPr>
        <w:t xml:space="preserve"> statistical differences between the groups were detected at any time point</w:t>
      </w:r>
      <w:r w:rsidRPr="00587F6B">
        <w:rPr>
          <w:iCs/>
        </w:rPr>
        <w:t>.</w:t>
      </w:r>
      <w:r w:rsidR="00F66797" w:rsidRPr="00587F6B">
        <w:rPr>
          <w:iCs/>
        </w:rPr>
        <w:t xml:space="preserve"> </w:t>
      </w:r>
      <w:r w:rsidR="00F66797" w:rsidRPr="00587F6B">
        <w:rPr>
          <w:iCs/>
          <w:color w:val="FF0000"/>
        </w:rPr>
        <w:t>[Table 1 here]</w:t>
      </w:r>
    </w:p>
    <w:p w14:paraId="18665002" w14:textId="1E7BE21E" w:rsidR="00C64A9E" w:rsidRDefault="00C64A9E" w:rsidP="00BF6B40">
      <w:pPr>
        <w:spacing w:line="480" w:lineRule="auto"/>
        <w:outlineLvl w:val="0"/>
        <w:rPr>
          <w:i/>
          <w:lang w:val="en-GB"/>
        </w:rPr>
      </w:pPr>
      <w:r w:rsidRPr="00C64A9E">
        <w:rPr>
          <w:i/>
          <w:lang w:val="en-GB"/>
        </w:rPr>
        <w:t>Ketamine enantiomer</w:t>
      </w:r>
      <w:r w:rsidR="00790A7C">
        <w:rPr>
          <w:i/>
          <w:lang w:val="en-GB"/>
        </w:rPr>
        <w:t>s</w:t>
      </w:r>
      <w:r w:rsidRPr="00C64A9E">
        <w:rPr>
          <w:i/>
          <w:lang w:val="en-GB"/>
        </w:rPr>
        <w:t xml:space="preserve"> plasma concentrations</w:t>
      </w:r>
    </w:p>
    <w:p w14:paraId="281824A9" w14:textId="690A17CC" w:rsidR="00C64A9E" w:rsidRDefault="00C64A9E" w:rsidP="00BF6B40">
      <w:pPr>
        <w:spacing w:line="480" w:lineRule="auto"/>
        <w:rPr>
          <w:iCs/>
        </w:rPr>
      </w:pPr>
      <w:r w:rsidRPr="00C64A9E">
        <w:rPr>
          <w:iCs/>
        </w:rPr>
        <w:lastRenderedPageBreak/>
        <w:t xml:space="preserve">The plasma concentrations of the ketamine enantiomers and its metabolites R-norketamine and S-norketamine were plotted against the time </w:t>
      </w:r>
      <w:r>
        <w:rPr>
          <w:iCs/>
        </w:rPr>
        <w:t>points for the RS-</w:t>
      </w:r>
      <w:r w:rsidRPr="00C64A9E">
        <w:rPr>
          <w:iCs/>
        </w:rPr>
        <w:t>KET and S-KET treatments (Figures 1 and 2, A and B). No statistical differences were detected between the concentrations of R-ketamine</w:t>
      </w:r>
      <w:r w:rsidR="00E3095A">
        <w:rPr>
          <w:iCs/>
        </w:rPr>
        <w:t xml:space="preserve"> and </w:t>
      </w:r>
      <w:r w:rsidR="00E3095A" w:rsidRPr="00C64A9E">
        <w:rPr>
          <w:iCs/>
        </w:rPr>
        <w:t>S-ketamine</w:t>
      </w:r>
      <w:r w:rsidRPr="00C64A9E">
        <w:rPr>
          <w:iCs/>
        </w:rPr>
        <w:t xml:space="preserve"> as well as</w:t>
      </w:r>
      <w:r w:rsidR="00E3095A">
        <w:rPr>
          <w:iCs/>
        </w:rPr>
        <w:t xml:space="preserve"> between </w:t>
      </w:r>
      <w:r w:rsidRPr="00C64A9E">
        <w:rPr>
          <w:iCs/>
        </w:rPr>
        <w:t>S-ketamine</w:t>
      </w:r>
      <w:r w:rsidR="00E3095A">
        <w:rPr>
          <w:iCs/>
        </w:rPr>
        <w:t xml:space="preserve"> concentrations</w:t>
      </w:r>
      <w:r w:rsidRPr="00C64A9E">
        <w:rPr>
          <w:iCs/>
        </w:rPr>
        <w:t xml:space="preserve"> following </w:t>
      </w:r>
      <w:r w:rsidR="00E3095A">
        <w:rPr>
          <w:iCs/>
        </w:rPr>
        <w:t>RS-</w:t>
      </w:r>
      <w:r w:rsidR="00E3095A" w:rsidRPr="00C64A9E">
        <w:rPr>
          <w:iCs/>
        </w:rPr>
        <w:t>KET and S-KET</w:t>
      </w:r>
      <w:r w:rsidRPr="00C64A9E">
        <w:rPr>
          <w:iCs/>
        </w:rPr>
        <w:t>. After administration of racemic ketamine</w:t>
      </w:r>
      <w:r w:rsidR="00D10E66">
        <w:rPr>
          <w:iCs/>
        </w:rPr>
        <w:t>,</w:t>
      </w:r>
      <w:r w:rsidR="00E3095A">
        <w:rPr>
          <w:iCs/>
        </w:rPr>
        <w:t xml:space="preserve"> the</w:t>
      </w:r>
      <w:r w:rsidRPr="00C64A9E">
        <w:rPr>
          <w:iCs/>
        </w:rPr>
        <w:t xml:space="preserve"> area under the curve to infinity of the metabolites </w:t>
      </w:r>
      <w:r w:rsidR="00E3095A">
        <w:rPr>
          <w:iCs/>
        </w:rPr>
        <w:t>R</w:t>
      </w:r>
      <w:r w:rsidRPr="00C64A9E">
        <w:rPr>
          <w:iCs/>
        </w:rPr>
        <w:t xml:space="preserve">-norketamine </w:t>
      </w:r>
      <w:r w:rsidR="00E3095A" w:rsidRPr="00257306">
        <w:t xml:space="preserve">was </w:t>
      </w:r>
      <w:r w:rsidR="00E3095A">
        <w:t>significantly high</w:t>
      </w:r>
      <w:r w:rsidR="00E3095A" w:rsidRPr="00257306">
        <w:t xml:space="preserve">er </w:t>
      </w:r>
      <w:r w:rsidR="00E3095A">
        <w:t xml:space="preserve">than </w:t>
      </w:r>
      <w:r w:rsidR="00E3095A">
        <w:rPr>
          <w:iCs/>
        </w:rPr>
        <w:t>the one of</w:t>
      </w:r>
      <w:r w:rsidRPr="00C64A9E">
        <w:rPr>
          <w:iCs/>
        </w:rPr>
        <w:t xml:space="preserve"> </w:t>
      </w:r>
      <w:r w:rsidR="00E3095A">
        <w:rPr>
          <w:iCs/>
        </w:rPr>
        <w:t>S</w:t>
      </w:r>
      <w:r w:rsidRPr="00C64A9E">
        <w:rPr>
          <w:iCs/>
        </w:rPr>
        <w:t xml:space="preserve">-norketamine, reported in </w:t>
      </w:r>
      <w:r w:rsidR="00F66797">
        <w:rPr>
          <w:iCs/>
        </w:rPr>
        <w:t>T</w:t>
      </w:r>
      <w:r w:rsidRPr="00C64A9E">
        <w:rPr>
          <w:iCs/>
        </w:rPr>
        <w:t>able 2. No R-ketamine or R-norketamine was detected after the administration of S-ketamine.</w:t>
      </w:r>
      <w:r w:rsidR="00F66797">
        <w:rPr>
          <w:iCs/>
        </w:rPr>
        <w:t xml:space="preserve"> </w:t>
      </w:r>
      <w:r w:rsidR="00F66797" w:rsidRPr="00587F6B">
        <w:rPr>
          <w:iCs/>
          <w:color w:val="FF0000"/>
        </w:rPr>
        <w:t>[Figures 1 and 2 here]</w:t>
      </w:r>
    </w:p>
    <w:p w14:paraId="489295DA" w14:textId="77777777" w:rsidR="00C64A9E" w:rsidRDefault="00C64A9E" w:rsidP="00BF6B40">
      <w:pPr>
        <w:spacing w:line="480" w:lineRule="auto"/>
        <w:outlineLvl w:val="0"/>
        <w:rPr>
          <w:i/>
          <w:lang w:val="en-GB"/>
        </w:rPr>
      </w:pPr>
      <w:r w:rsidRPr="00C64A9E">
        <w:rPr>
          <w:i/>
          <w:lang w:val="en-GB"/>
        </w:rPr>
        <w:t xml:space="preserve">Pharmacokinetic </w:t>
      </w:r>
      <w:r>
        <w:rPr>
          <w:i/>
          <w:lang w:val="en-GB"/>
        </w:rPr>
        <w:t>p</w:t>
      </w:r>
      <w:r w:rsidRPr="00C64A9E">
        <w:rPr>
          <w:i/>
          <w:lang w:val="en-GB"/>
        </w:rPr>
        <w:t>arameters</w:t>
      </w:r>
    </w:p>
    <w:p w14:paraId="3A8BB3F9" w14:textId="52D2CC1D" w:rsidR="00C64A9E" w:rsidRDefault="00C64A9E" w:rsidP="00BF6B40">
      <w:pPr>
        <w:spacing w:line="480" w:lineRule="auto"/>
        <w:rPr>
          <w:iCs/>
        </w:rPr>
      </w:pPr>
      <w:r w:rsidRPr="00C64A9E">
        <w:rPr>
          <w:iCs/>
        </w:rPr>
        <w:t>A 2-compartment model best described the S-ketamine</w:t>
      </w:r>
      <w:r w:rsidR="00790A7C">
        <w:rPr>
          <w:iCs/>
        </w:rPr>
        <w:t xml:space="preserve"> and R-ketamine</w:t>
      </w:r>
      <w:r w:rsidRPr="00C64A9E">
        <w:rPr>
          <w:iCs/>
        </w:rPr>
        <w:t xml:space="preserve"> plasma concentration following IV administration of a bolus of the racemic ketamine and S-ketamine. </w:t>
      </w:r>
      <w:r>
        <w:rPr>
          <w:iCs/>
        </w:rPr>
        <w:t>The c</w:t>
      </w:r>
      <w:r w:rsidRPr="00C64A9E">
        <w:rPr>
          <w:iCs/>
        </w:rPr>
        <w:t xml:space="preserve">alculated parameters are </w:t>
      </w:r>
      <w:r>
        <w:rPr>
          <w:iCs/>
        </w:rPr>
        <w:t>reporte</w:t>
      </w:r>
      <w:r w:rsidRPr="00C64A9E">
        <w:rPr>
          <w:iCs/>
        </w:rPr>
        <w:t xml:space="preserve">d in </w:t>
      </w:r>
      <w:r>
        <w:rPr>
          <w:iCs/>
        </w:rPr>
        <w:t>T</w:t>
      </w:r>
      <w:r w:rsidRPr="00C64A9E">
        <w:rPr>
          <w:iCs/>
        </w:rPr>
        <w:t>able 2.</w:t>
      </w:r>
      <w:r>
        <w:rPr>
          <w:iCs/>
        </w:rPr>
        <w:t xml:space="preserve"> </w:t>
      </w:r>
      <w:r w:rsidRPr="00C64A9E">
        <w:rPr>
          <w:iCs/>
        </w:rPr>
        <w:t>The apparent volume of distribution in the central compartment was 0.75 ± 0.37 L/kg and 0.68 ± 0.37 L/kg for S-ketamine in the RS-KET group and the S-KET group, respectively (p = 0.75). The distribution half-life of S-ketamine was 1.39 ± 0.37 min in the RS-KET group and 1.03 ± 0.60 min in the S-KET group (p = 0.06). The elimination half-life of S-ketamine was 15.56 ± 6.98 min in the RS-KET group and 13.07 ± 6.19 min in the S-KET group (p = 0.15). The elimination half-life of R-ketamine was 15.42 ± 5.46 min. The total body clearance of S-ketamine was 71.82 ±12.80 mL/min/kg in the RS-KET group and 72.68 ± 14.72 mL/min/kg in the S-KET group (p = 0.72).</w:t>
      </w:r>
      <w:r w:rsidR="00F66797">
        <w:rPr>
          <w:iCs/>
        </w:rPr>
        <w:t xml:space="preserve"> </w:t>
      </w:r>
      <w:r w:rsidR="00F66797" w:rsidRPr="00587F6B">
        <w:rPr>
          <w:iCs/>
          <w:color w:val="FF0000"/>
        </w:rPr>
        <w:t>[Table 2 here]</w:t>
      </w:r>
    </w:p>
    <w:p w14:paraId="2A89B6D8" w14:textId="77777777" w:rsidR="001247C2" w:rsidRDefault="001247C2" w:rsidP="00BF6B40">
      <w:pPr>
        <w:spacing w:line="480" w:lineRule="auto"/>
        <w:outlineLvl w:val="0"/>
        <w:rPr>
          <w:b/>
          <w:iCs/>
        </w:rPr>
      </w:pPr>
    </w:p>
    <w:p w14:paraId="13EE7E9B" w14:textId="2B745FBE" w:rsidR="00426080" w:rsidRPr="00E32F69" w:rsidRDefault="00426080" w:rsidP="00BF6B40">
      <w:pPr>
        <w:spacing w:line="480" w:lineRule="auto"/>
        <w:outlineLvl w:val="0"/>
        <w:rPr>
          <w:b/>
          <w:iCs/>
        </w:rPr>
      </w:pPr>
      <w:r w:rsidRPr="00E32F69">
        <w:rPr>
          <w:b/>
          <w:iCs/>
        </w:rPr>
        <w:t>Discussion</w:t>
      </w:r>
    </w:p>
    <w:p w14:paraId="3504F4C4" w14:textId="10CCDCA2" w:rsidR="00AD253A" w:rsidRDefault="00B128B5" w:rsidP="00BF6B40">
      <w:pPr>
        <w:spacing w:line="480" w:lineRule="auto"/>
        <w:rPr>
          <w:iCs/>
        </w:rPr>
      </w:pPr>
      <w:r w:rsidRPr="00B128B5">
        <w:rPr>
          <w:iCs/>
        </w:rPr>
        <w:t>In the present study in healthy dogs under steady state sevoflurane anaesthesia</w:t>
      </w:r>
      <w:r w:rsidR="00C91970">
        <w:rPr>
          <w:iCs/>
        </w:rPr>
        <w:t>,</w:t>
      </w:r>
      <w:r w:rsidR="00B5711A">
        <w:rPr>
          <w:iCs/>
        </w:rPr>
        <w:t xml:space="preserve"> resulting in stable cardiopulmonary function</w:t>
      </w:r>
      <w:r w:rsidRPr="00B128B5">
        <w:rPr>
          <w:iCs/>
        </w:rPr>
        <w:t xml:space="preserve">, the pharmacokinetic parameters of S-ketamine after a single IV injection of the racemic drug or the S-enantiomer did not significantly differ. There was </w:t>
      </w:r>
      <w:r w:rsidRPr="00B128B5">
        <w:rPr>
          <w:iCs/>
        </w:rPr>
        <w:lastRenderedPageBreak/>
        <w:t>also no difference in R-ketamine kinetics in comparison to the S-ketamine. The cardiopulmonary function and relevant electrolyte concentrations did not differ between the groups either</w:t>
      </w:r>
      <w:r w:rsidR="004B5098">
        <w:rPr>
          <w:iCs/>
        </w:rPr>
        <w:t xml:space="preserve">. </w:t>
      </w:r>
      <w:r w:rsidRPr="00B128B5">
        <w:rPr>
          <w:iCs/>
        </w:rPr>
        <w:t xml:space="preserve">These results are in agreement with studies performed in ponies under isoflurane anaesthesia receiving a bolus of S-ketamine at 50% dose of racemic ketamine (Larenza et al., 2007). In this study, no differences in the distribution of S-ketamine following its administration as a sole drug or as part of the racemic mixture could be detected. Also the distribution half-lives of the two studies are remarkably similar suggesting that horses and dogs show similar ketamine metabolism under steady state inhalant agent anaesthesia. </w:t>
      </w:r>
    </w:p>
    <w:p w14:paraId="3F7BC77E" w14:textId="1A2EDBFF" w:rsidR="00B128B5" w:rsidRDefault="00B128B5" w:rsidP="00BF6B40">
      <w:pPr>
        <w:spacing w:line="480" w:lineRule="auto"/>
        <w:rPr>
          <w:iCs/>
        </w:rPr>
      </w:pPr>
      <w:r w:rsidRPr="00B128B5">
        <w:rPr>
          <w:iCs/>
        </w:rPr>
        <w:t xml:space="preserve">It is known that there are differences in plasma levels of </w:t>
      </w:r>
      <w:r w:rsidR="003C2590">
        <w:rPr>
          <w:iCs/>
        </w:rPr>
        <w:t xml:space="preserve">peripheral </w:t>
      </w:r>
      <w:r w:rsidRPr="00B128B5">
        <w:rPr>
          <w:iCs/>
        </w:rPr>
        <w:t>venous and arterial blood samples (Chiou et al, 1981; Tuk et al., 1997). It has been suggested that p</w:t>
      </w:r>
      <w:r w:rsidR="000754F0">
        <w:rPr>
          <w:iCs/>
        </w:rPr>
        <w:t>harmacokinetic analysi</w:t>
      </w:r>
      <w:r w:rsidRPr="00B128B5">
        <w:rPr>
          <w:iCs/>
        </w:rPr>
        <w:t xml:space="preserve">s for potent short-acting drugs is more accurate based on arterial plasma levels (Chiou, 1987). </w:t>
      </w:r>
      <w:r w:rsidR="001C2191" w:rsidRPr="00B128B5">
        <w:rPr>
          <w:iCs/>
        </w:rPr>
        <w:t>Nevertheless,</w:t>
      </w:r>
      <w:r w:rsidRPr="00B128B5">
        <w:rPr>
          <w:iCs/>
        </w:rPr>
        <w:t xml:space="preserve"> our data gained with venous samples is in agreement with data of Larenza et al. (2007) gained with arterial samples. Probably frequent sampling and the use of a central venous catheter in the present study, allowed accurate reflection of the decline curve. The delay in comparison to arterial sampling was minimised by the use of a central venous catheter. As it was not attempted to link effect of ketamine to plasma levels, the venous sampling regime of the current study was adequate to discover differences between S- and RS-ketamine </w:t>
      </w:r>
      <w:r w:rsidR="008F0862" w:rsidRPr="00B128B5">
        <w:rPr>
          <w:iCs/>
        </w:rPr>
        <w:t>pharmacokinetics</w:t>
      </w:r>
      <w:r w:rsidRPr="00B128B5">
        <w:rPr>
          <w:iCs/>
        </w:rPr>
        <w:t>, especially as cardiopulmonary function was constant and identical between groups. In both treatment groups the plasma concentrations</w:t>
      </w:r>
      <w:r w:rsidR="00790A7C">
        <w:rPr>
          <w:iCs/>
        </w:rPr>
        <w:t xml:space="preserve"> of ketamine enantiomers</w:t>
      </w:r>
      <w:r w:rsidRPr="00B128B5">
        <w:rPr>
          <w:iCs/>
        </w:rPr>
        <w:t xml:space="preserve"> followed a bi</w:t>
      </w:r>
      <w:r w:rsidR="00F47F42">
        <w:rPr>
          <w:iCs/>
        </w:rPr>
        <w:t>-</w:t>
      </w:r>
      <w:r w:rsidRPr="00B128B5">
        <w:rPr>
          <w:iCs/>
        </w:rPr>
        <w:t xml:space="preserve">exponential decline, with a rapid initial distribution followed by a slower elimination, as previously reported for ketamine in dogs and other species (Kaka </w:t>
      </w:r>
      <w:r w:rsidR="00C013FE">
        <w:rPr>
          <w:iCs/>
        </w:rPr>
        <w:t>and</w:t>
      </w:r>
      <w:r w:rsidRPr="00B128B5">
        <w:rPr>
          <w:iCs/>
        </w:rPr>
        <w:t xml:space="preserve"> Hayton, 1989; Delatour et al., 1991; Henthorn et al., 1999; Roncada et al., 2003; Pypendop </w:t>
      </w:r>
      <w:r w:rsidR="00C013FE">
        <w:rPr>
          <w:iCs/>
        </w:rPr>
        <w:t>and</w:t>
      </w:r>
      <w:r w:rsidR="0057393C">
        <w:t xml:space="preserve"> </w:t>
      </w:r>
      <w:r w:rsidR="0057393C" w:rsidRPr="0057393C">
        <w:rPr>
          <w:iCs/>
        </w:rPr>
        <w:t>Ilkiw</w:t>
      </w:r>
      <w:r w:rsidRPr="00B128B5">
        <w:rPr>
          <w:iCs/>
        </w:rPr>
        <w:t xml:space="preserve">, 2005). The previous studies of ketamine pharmacokinetics in dogs were not stereospecific (Kaka </w:t>
      </w:r>
      <w:r w:rsidR="00C013FE">
        <w:rPr>
          <w:iCs/>
        </w:rPr>
        <w:t>and</w:t>
      </w:r>
      <w:r w:rsidRPr="00B128B5">
        <w:rPr>
          <w:iCs/>
        </w:rPr>
        <w:t xml:space="preserve"> Hayton, 1</w:t>
      </w:r>
      <w:r w:rsidR="00425240">
        <w:rPr>
          <w:iCs/>
        </w:rPr>
        <w:t>989; Roncada et al., 2003; Pype</w:t>
      </w:r>
      <w:r w:rsidRPr="00B128B5">
        <w:rPr>
          <w:iCs/>
        </w:rPr>
        <w:t xml:space="preserve">ndop et al., 2005) but also showed that a 2-compartment model best described the disposition of ketamine. Distribution </w:t>
      </w:r>
      <w:r w:rsidRPr="00B128B5">
        <w:rPr>
          <w:iCs/>
        </w:rPr>
        <w:lastRenderedPageBreak/>
        <w:t>half</w:t>
      </w:r>
      <w:r w:rsidR="0047581B">
        <w:rPr>
          <w:iCs/>
        </w:rPr>
        <w:t>-</w:t>
      </w:r>
      <w:r w:rsidRPr="00B128B5">
        <w:rPr>
          <w:iCs/>
        </w:rPr>
        <w:t xml:space="preserve">lives and </w:t>
      </w:r>
      <w:r w:rsidR="008F0862" w:rsidRPr="00B128B5">
        <w:rPr>
          <w:iCs/>
        </w:rPr>
        <w:t>clearance</w:t>
      </w:r>
      <w:r w:rsidRPr="00B128B5">
        <w:rPr>
          <w:iCs/>
        </w:rPr>
        <w:t xml:space="preserve"> rates were similar to ours, but elimination half-lives in our study were considerably shorter. This is probably a consequence of differences in co-medications, the number of samples and duration of sampling during the elimination </w:t>
      </w:r>
      <w:r>
        <w:rPr>
          <w:iCs/>
        </w:rPr>
        <w:t>phase in the different studies.</w:t>
      </w:r>
    </w:p>
    <w:p w14:paraId="5BFDE3EF" w14:textId="1D52DA43" w:rsidR="00B128B5" w:rsidRDefault="00B128B5" w:rsidP="00BF6B40">
      <w:pPr>
        <w:spacing w:line="480" w:lineRule="auto"/>
        <w:rPr>
          <w:iCs/>
        </w:rPr>
      </w:pPr>
      <w:r w:rsidRPr="00B128B5">
        <w:rPr>
          <w:iCs/>
        </w:rPr>
        <w:t>In contrast to the present results, stereospecific studies in otherwise unpremedicated humans (Ihmsen et al., 1991) have reported a higher S-ketamine clearance in comparison to R-ketamine, in particular when given as part of the racemate. Kharasch and Labroo (1992) hypothesized that an enzyme substrate competition between R-ketamine and S-ketamine could delay the N-demethylation of S-ketamine to S-norketamine, leading to a slower elimination of this enantiomer when given as part of the racemate. In vitro it was shown, that N-demethylation of S-ketamine by human liver microsomes is 20 % larger than that of R-ketamine (Karash et al., 1992). A study in Japanese volunteers (Yanagihara et al., 2003) on the other hand, showed no stereospecific difference in the pharmacokinetics of racemic ketamine. This difference to Ihmsen</w:t>
      </w:r>
      <w:r w:rsidR="008F0862">
        <w:rPr>
          <w:iCs/>
        </w:rPr>
        <w:t>’</w:t>
      </w:r>
      <w:r w:rsidRPr="00B128B5">
        <w:rPr>
          <w:iCs/>
        </w:rPr>
        <w:t>s et al</w:t>
      </w:r>
      <w:r>
        <w:rPr>
          <w:iCs/>
        </w:rPr>
        <w:t>.</w:t>
      </w:r>
      <w:r w:rsidRPr="00B128B5">
        <w:rPr>
          <w:iCs/>
        </w:rPr>
        <w:t xml:space="preserve"> study (1991) was attributed to variability between different human race</w:t>
      </w:r>
      <w:r w:rsidR="003E737F">
        <w:rPr>
          <w:iCs/>
        </w:rPr>
        <w:t>s.</w:t>
      </w:r>
    </w:p>
    <w:p w14:paraId="3E8536D7" w14:textId="1EB9ABB7" w:rsidR="00B128B5" w:rsidRPr="00B128B5" w:rsidRDefault="00B128B5" w:rsidP="00BF6B40">
      <w:pPr>
        <w:spacing w:line="480" w:lineRule="auto"/>
        <w:rPr>
          <w:iCs/>
        </w:rPr>
      </w:pPr>
      <w:r w:rsidRPr="00B128B5">
        <w:rPr>
          <w:iCs/>
        </w:rPr>
        <w:t xml:space="preserve">Looking at metabolite formation, </w:t>
      </w:r>
      <w:r w:rsidR="00C91970">
        <w:rPr>
          <w:iCs/>
        </w:rPr>
        <w:t xml:space="preserve">a higher area under the curve </w:t>
      </w:r>
      <w:r w:rsidRPr="00B128B5">
        <w:rPr>
          <w:iCs/>
        </w:rPr>
        <w:t xml:space="preserve">of R-norketamine compared to S-norketamine </w:t>
      </w:r>
      <w:r w:rsidR="00790A7C">
        <w:rPr>
          <w:iCs/>
        </w:rPr>
        <w:t xml:space="preserve">(statistically significant) </w:t>
      </w:r>
      <w:r w:rsidRPr="00B128B5">
        <w:rPr>
          <w:iCs/>
        </w:rPr>
        <w:t>was observed after administ</w:t>
      </w:r>
      <w:r>
        <w:rPr>
          <w:iCs/>
        </w:rPr>
        <w:t xml:space="preserve">ration of the racemic mixture. </w:t>
      </w:r>
      <w:r w:rsidRPr="00B128B5">
        <w:rPr>
          <w:iCs/>
        </w:rPr>
        <w:t xml:space="preserve">This is </w:t>
      </w:r>
      <w:r w:rsidR="00E07A45">
        <w:rPr>
          <w:iCs/>
        </w:rPr>
        <w:t>not in agreement with</w:t>
      </w:r>
      <w:r w:rsidRPr="00B128B5">
        <w:rPr>
          <w:iCs/>
        </w:rPr>
        <w:t xml:space="preserve"> </w:t>
      </w:r>
      <w:r w:rsidR="00E07A45">
        <w:rPr>
          <w:iCs/>
        </w:rPr>
        <w:t xml:space="preserve">the </w:t>
      </w:r>
      <w:r w:rsidRPr="00B128B5">
        <w:rPr>
          <w:iCs/>
        </w:rPr>
        <w:t>st</w:t>
      </w:r>
      <w:r w:rsidR="00E07A45">
        <w:rPr>
          <w:iCs/>
        </w:rPr>
        <w:t>udy</w:t>
      </w:r>
      <w:r w:rsidRPr="00B128B5">
        <w:rPr>
          <w:iCs/>
        </w:rPr>
        <w:t xml:space="preserve"> in ponies (Larenza et al., 2007), where under isoflurane anaesthesia significantly lower </w:t>
      </w:r>
      <w:r w:rsidR="00E07A45">
        <w:rPr>
          <w:iCs/>
        </w:rPr>
        <w:t xml:space="preserve">AUC  in </w:t>
      </w:r>
      <w:r w:rsidRPr="00B128B5">
        <w:rPr>
          <w:iCs/>
        </w:rPr>
        <w:t>R-norketamine compared to S-norketamine were found following racemic ketamine. The beagles in the present study were artificially ventilated, while Larenza et al. (2007) did not ventilate the ponies. Positive-pressure ventilation interferes with cardiac function and venous return and has been shown to decrease systemic and hepato-splanchnic blood flow. During spontaneous breathing, the blood flow to the liver seems to be higher than during artificial ventilation (Jakob, 2010). We used sevoflurane, Lare</w:t>
      </w:r>
      <w:r w:rsidR="005D030D">
        <w:rPr>
          <w:iCs/>
        </w:rPr>
        <w:t>nza et al. (2007) isoflurane</w:t>
      </w:r>
      <w:r w:rsidRPr="00B128B5">
        <w:rPr>
          <w:iCs/>
        </w:rPr>
        <w:t xml:space="preserve">. The use of halogenated agents will have an </w:t>
      </w:r>
      <w:r w:rsidRPr="00B128B5">
        <w:rPr>
          <w:iCs/>
        </w:rPr>
        <w:lastRenderedPageBreak/>
        <w:t xml:space="preserve">influence on organ perfusion and as such also influences drug disposition and pharmacokinetics (Schwieger et al, 1991). Therefore, the three different inhalant anaesthetic agents might </w:t>
      </w:r>
      <w:r w:rsidR="00D746DC">
        <w:rPr>
          <w:iCs/>
        </w:rPr>
        <w:t xml:space="preserve">have </w:t>
      </w:r>
      <w:r w:rsidRPr="00B128B5">
        <w:rPr>
          <w:iCs/>
        </w:rPr>
        <w:t>further contributed to differences observed, but probably to similar extents. It seems likely that concerning formation of</w:t>
      </w:r>
      <w:r w:rsidR="00D746DC">
        <w:rPr>
          <w:iCs/>
        </w:rPr>
        <w:t xml:space="preserve"> R-</w:t>
      </w:r>
      <w:r w:rsidRPr="00B128B5">
        <w:rPr>
          <w:iCs/>
        </w:rPr>
        <w:t xml:space="preserve"> and </w:t>
      </w:r>
      <w:r w:rsidR="00D746DC">
        <w:rPr>
          <w:iCs/>
        </w:rPr>
        <w:t>S</w:t>
      </w:r>
      <w:r w:rsidRPr="00B128B5">
        <w:rPr>
          <w:iCs/>
        </w:rPr>
        <w:t xml:space="preserve">-norketamine there is a true </w:t>
      </w:r>
      <w:r w:rsidR="008F0862" w:rsidRPr="00B128B5">
        <w:rPr>
          <w:iCs/>
        </w:rPr>
        <w:t>species-specific</w:t>
      </w:r>
      <w:r w:rsidRPr="00B128B5">
        <w:rPr>
          <w:iCs/>
        </w:rPr>
        <w:t xml:space="preserve"> difference be</w:t>
      </w:r>
      <w:r w:rsidR="00534D83">
        <w:rPr>
          <w:iCs/>
        </w:rPr>
        <w:t>t</w:t>
      </w:r>
      <w:r w:rsidRPr="00B128B5">
        <w:rPr>
          <w:iCs/>
        </w:rPr>
        <w:t>ween dogs and horses, but not between dogs and humans.</w:t>
      </w:r>
    </w:p>
    <w:p w14:paraId="66B94F7F" w14:textId="1E7D53F0" w:rsidR="00B128B5" w:rsidRPr="00B128B5" w:rsidRDefault="00B128B5" w:rsidP="00BF6B40">
      <w:pPr>
        <w:spacing w:line="480" w:lineRule="auto"/>
        <w:rPr>
          <w:iCs/>
        </w:rPr>
      </w:pPr>
      <w:r w:rsidRPr="00B128B5">
        <w:rPr>
          <w:iCs/>
        </w:rPr>
        <w:t>Light sevoflurane anaesthesia was used in the present study in order to allow stress free instrumentation of the dogs and provide steady state conditions during the first hours of blood sampling. Henthorn et al. (1999) have also used a halogenated anaesthetic, namely halothane, to study stereoisomeric distribution of S- and R- ketamine</w:t>
      </w:r>
      <w:r w:rsidR="00D746DC">
        <w:rPr>
          <w:iCs/>
        </w:rPr>
        <w:t xml:space="preserve"> </w:t>
      </w:r>
      <w:r w:rsidR="00D746DC" w:rsidRPr="00B128B5">
        <w:rPr>
          <w:iCs/>
        </w:rPr>
        <w:t>to pulmonary tissue</w:t>
      </w:r>
      <w:r w:rsidRPr="00B128B5">
        <w:rPr>
          <w:iCs/>
        </w:rPr>
        <w:t xml:space="preserve"> following administration of racemic ketamine. As there was a lack of stereoisomeric effect in pulmonary tissue distribution the authors concluded that distribution would be identical for other tissues as well – which is in agreement with the current study. </w:t>
      </w:r>
    </w:p>
    <w:p w14:paraId="19D982AB" w14:textId="749E720D" w:rsidR="00426080" w:rsidRPr="00E32F69" w:rsidRDefault="00B128B5" w:rsidP="001F7FA7">
      <w:pPr>
        <w:spacing w:line="480" w:lineRule="auto"/>
        <w:rPr>
          <w:iCs/>
        </w:rPr>
      </w:pPr>
      <w:r w:rsidRPr="00B128B5">
        <w:rPr>
          <w:iCs/>
        </w:rPr>
        <w:t xml:space="preserve">In conclusion, </w:t>
      </w:r>
      <w:r w:rsidR="00F81DBD">
        <w:rPr>
          <w:iCs/>
        </w:rPr>
        <w:t xml:space="preserve">after racemic ketamine injection </w:t>
      </w:r>
      <w:r w:rsidR="00527CEB">
        <w:rPr>
          <w:iCs/>
        </w:rPr>
        <w:t xml:space="preserve">in dogs anesthetised with </w:t>
      </w:r>
      <w:r w:rsidR="00527CEB" w:rsidRPr="00B128B5">
        <w:rPr>
          <w:iCs/>
        </w:rPr>
        <w:t>sevoflurane</w:t>
      </w:r>
      <w:r w:rsidR="00527CEB">
        <w:rPr>
          <w:iCs/>
        </w:rPr>
        <w:t xml:space="preserve"> </w:t>
      </w:r>
      <w:r w:rsidR="00AE2B1A">
        <w:rPr>
          <w:iCs/>
        </w:rPr>
        <w:t xml:space="preserve">the pharmacokinetic </w:t>
      </w:r>
      <w:r w:rsidR="00527CEB">
        <w:rPr>
          <w:iCs/>
        </w:rPr>
        <w:t xml:space="preserve">profiles </w:t>
      </w:r>
      <w:r w:rsidR="00F81DBD">
        <w:rPr>
          <w:iCs/>
        </w:rPr>
        <w:t>did not differ between</w:t>
      </w:r>
      <w:r w:rsidR="00AE2B1A">
        <w:rPr>
          <w:iCs/>
        </w:rPr>
        <w:t xml:space="preserve"> </w:t>
      </w:r>
      <w:r w:rsidR="00527CEB">
        <w:rPr>
          <w:iCs/>
        </w:rPr>
        <w:t>S-</w:t>
      </w:r>
      <w:r w:rsidR="00AE2B1A">
        <w:rPr>
          <w:iCs/>
        </w:rPr>
        <w:t>ketamine</w:t>
      </w:r>
      <w:r w:rsidR="00527CEB">
        <w:rPr>
          <w:iCs/>
        </w:rPr>
        <w:t xml:space="preserve"> and R-ketamine</w:t>
      </w:r>
      <w:r w:rsidR="00F81DBD">
        <w:rPr>
          <w:iCs/>
        </w:rPr>
        <w:t>.</w:t>
      </w:r>
      <w:r w:rsidR="00527CEB">
        <w:rPr>
          <w:iCs/>
        </w:rPr>
        <w:t xml:space="preserve"> </w:t>
      </w:r>
      <w:r w:rsidR="00F81DBD">
        <w:rPr>
          <w:iCs/>
        </w:rPr>
        <w:t>Moreover, the PK parameters of</w:t>
      </w:r>
      <w:r w:rsidR="00527CEB">
        <w:rPr>
          <w:iCs/>
        </w:rPr>
        <w:t xml:space="preserve"> S-ketamine</w:t>
      </w:r>
      <w:r w:rsidR="00527CEB" w:rsidRPr="00B128B5">
        <w:rPr>
          <w:iCs/>
        </w:rPr>
        <w:t xml:space="preserve"> </w:t>
      </w:r>
      <w:r w:rsidR="00D13E14">
        <w:rPr>
          <w:iCs/>
        </w:rPr>
        <w:t xml:space="preserve">were comparable when given alone </w:t>
      </w:r>
      <w:r w:rsidR="00527CEB" w:rsidRPr="00B128B5">
        <w:rPr>
          <w:iCs/>
        </w:rPr>
        <w:t xml:space="preserve">or as part of racemic </w:t>
      </w:r>
      <w:r w:rsidR="00D13E14">
        <w:rPr>
          <w:iCs/>
        </w:rPr>
        <w:t>ketamine</w:t>
      </w:r>
      <w:r w:rsidR="00527CEB">
        <w:rPr>
          <w:iCs/>
        </w:rPr>
        <w:t>.</w:t>
      </w:r>
      <w:r w:rsidRPr="00B128B5">
        <w:rPr>
          <w:iCs/>
        </w:rPr>
        <w:t xml:space="preserve"> </w:t>
      </w:r>
      <w:r w:rsidR="001F7FA7">
        <w:rPr>
          <w:iCs/>
        </w:rPr>
        <w:t>C</w:t>
      </w:r>
      <w:r w:rsidR="00527CEB">
        <w:rPr>
          <w:iCs/>
        </w:rPr>
        <w:t xml:space="preserve">oncerning metabolites, </w:t>
      </w:r>
      <w:r w:rsidR="00527CEB" w:rsidRPr="00527CEB">
        <w:rPr>
          <w:iCs/>
        </w:rPr>
        <w:t>the</w:t>
      </w:r>
      <w:r w:rsidR="00931377">
        <w:rPr>
          <w:iCs/>
        </w:rPr>
        <w:t xml:space="preserve"> only difference observed in the pharmacokinetic profiles was </w:t>
      </w:r>
      <w:r w:rsidR="00625032">
        <w:rPr>
          <w:iCs/>
        </w:rPr>
        <w:t>that the</w:t>
      </w:r>
      <w:r w:rsidR="00931377">
        <w:rPr>
          <w:iCs/>
        </w:rPr>
        <w:t xml:space="preserve"> </w:t>
      </w:r>
      <w:r w:rsidR="00527CEB" w:rsidRPr="00527CEB">
        <w:rPr>
          <w:iCs/>
        </w:rPr>
        <w:t>area u</w:t>
      </w:r>
      <w:r w:rsidR="00931377">
        <w:rPr>
          <w:iCs/>
        </w:rPr>
        <w:t>nder t</w:t>
      </w:r>
      <w:r w:rsidR="00625032">
        <w:rPr>
          <w:iCs/>
        </w:rPr>
        <w:t xml:space="preserve">he curve of R-norketamine </w:t>
      </w:r>
      <w:r w:rsidR="00527CEB" w:rsidRPr="00527CEB">
        <w:rPr>
          <w:iCs/>
        </w:rPr>
        <w:t>was statistically higher than th</w:t>
      </w:r>
      <w:r w:rsidR="00917BA3">
        <w:rPr>
          <w:iCs/>
        </w:rPr>
        <w:t>e one</w:t>
      </w:r>
      <w:r w:rsidR="00527CEB" w:rsidRPr="00527CEB">
        <w:rPr>
          <w:iCs/>
        </w:rPr>
        <w:t xml:space="preserve"> of S-norketamine.</w:t>
      </w:r>
      <w:r w:rsidR="00527CEB">
        <w:rPr>
          <w:iCs/>
        </w:rPr>
        <w:t xml:space="preserve"> </w:t>
      </w:r>
      <w:r w:rsidRPr="00B128B5">
        <w:rPr>
          <w:iCs/>
        </w:rPr>
        <w:t xml:space="preserve">Effects on cardiopulmonary function between S-ketamine </w:t>
      </w:r>
      <w:r w:rsidR="0088649A">
        <w:rPr>
          <w:iCs/>
        </w:rPr>
        <w:t xml:space="preserve">(2 mg/kg) </w:t>
      </w:r>
      <w:r w:rsidRPr="00B128B5">
        <w:rPr>
          <w:iCs/>
        </w:rPr>
        <w:t xml:space="preserve">and racemic ketamine </w:t>
      </w:r>
      <w:r w:rsidR="0088649A">
        <w:rPr>
          <w:iCs/>
        </w:rPr>
        <w:t xml:space="preserve">(4 mg/kg) </w:t>
      </w:r>
      <w:r w:rsidRPr="00B128B5">
        <w:rPr>
          <w:iCs/>
        </w:rPr>
        <w:t>were identical.</w:t>
      </w:r>
      <w:r w:rsidR="001F7FA7">
        <w:rPr>
          <w:iCs/>
        </w:rPr>
        <w:t xml:space="preserve"> The results of the present study suggest that, </w:t>
      </w:r>
      <w:r w:rsidR="009D31ED">
        <w:rPr>
          <w:iCs/>
        </w:rPr>
        <w:t>despite our initial hypothesis</w:t>
      </w:r>
      <w:r w:rsidR="001F7FA7">
        <w:rPr>
          <w:iCs/>
        </w:rPr>
        <w:t xml:space="preserve">, the administration of S-ketamine alone </w:t>
      </w:r>
      <w:r w:rsidR="00256D94" w:rsidRPr="00256D94">
        <w:rPr>
          <w:iCs/>
        </w:rPr>
        <w:t>at the dose rates tested</w:t>
      </w:r>
      <w:r w:rsidR="009D31ED">
        <w:rPr>
          <w:iCs/>
        </w:rPr>
        <w:t xml:space="preserve"> </w:t>
      </w:r>
      <w:r w:rsidR="00931377">
        <w:rPr>
          <w:iCs/>
        </w:rPr>
        <w:t>might p</w:t>
      </w:r>
      <w:r w:rsidR="001F7FA7">
        <w:rPr>
          <w:iCs/>
        </w:rPr>
        <w:t>rovide the same effects as the racemic mixture.</w:t>
      </w:r>
    </w:p>
    <w:p w14:paraId="48768701" w14:textId="77777777" w:rsidR="00426080" w:rsidRPr="00E32F69" w:rsidRDefault="00426080" w:rsidP="00BF6B40">
      <w:pPr>
        <w:spacing w:line="480" w:lineRule="auto"/>
        <w:rPr>
          <w:b/>
        </w:rPr>
      </w:pPr>
    </w:p>
    <w:p w14:paraId="062603A3" w14:textId="3F97C601" w:rsidR="002A0977" w:rsidRPr="00867E67" w:rsidRDefault="007D3E96" w:rsidP="00BF6B40">
      <w:pPr>
        <w:spacing w:line="480" w:lineRule="auto"/>
        <w:outlineLvl w:val="0"/>
        <w:rPr>
          <w:b/>
        </w:rPr>
      </w:pPr>
      <w:r>
        <w:rPr>
          <w:b/>
        </w:rPr>
        <w:t>Conflict of interest</w:t>
      </w:r>
    </w:p>
    <w:p w14:paraId="7B66489F" w14:textId="54E6BD02" w:rsidR="002A0977" w:rsidRDefault="00E92D4D" w:rsidP="00BF6B40">
      <w:pPr>
        <w:spacing w:line="480" w:lineRule="auto"/>
      </w:pPr>
      <w:r w:rsidRPr="00867E67">
        <w:lastRenderedPageBreak/>
        <w:t xml:space="preserve">The study was </w:t>
      </w:r>
      <w:r w:rsidR="00A26831" w:rsidRPr="00867E67">
        <w:t xml:space="preserve">partly </w:t>
      </w:r>
      <w:r w:rsidRPr="00867E67">
        <w:t>sponsored by Dr. E. Graeub AG</w:t>
      </w:r>
      <w:r w:rsidR="00AD0B41" w:rsidRPr="00867E67">
        <w:t>,</w:t>
      </w:r>
      <w:r w:rsidR="004F5699" w:rsidRPr="00867E67">
        <w:t xml:space="preserve"> the manufacturer of the S-</w:t>
      </w:r>
      <w:r w:rsidRPr="00867E67">
        <w:t xml:space="preserve"> </w:t>
      </w:r>
      <w:r w:rsidR="00AD0B41" w:rsidRPr="00867E67">
        <w:t>as well as</w:t>
      </w:r>
      <w:r w:rsidRPr="00867E67">
        <w:t xml:space="preserve"> racemic ketamine.</w:t>
      </w:r>
      <w:r>
        <w:t xml:space="preserve"> </w:t>
      </w:r>
      <w:r w:rsidR="0080746F" w:rsidRPr="0080746F">
        <w:t>The authors declare that there is</w:t>
      </w:r>
      <w:r w:rsidR="0080746F">
        <w:t xml:space="preserve"> no conﬂict of interest regard</w:t>
      </w:r>
      <w:r w:rsidR="0080746F" w:rsidRPr="0080746F">
        <w:t>ing the publication of this manuscript.</w:t>
      </w:r>
    </w:p>
    <w:p w14:paraId="1DFCF5BF" w14:textId="77777777" w:rsidR="00E92D4D" w:rsidRPr="00E32F69" w:rsidRDefault="00E92D4D" w:rsidP="00BF6B40">
      <w:pPr>
        <w:spacing w:line="480" w:lineRule="auto"/>
        <w:rPr>
          <w:b/>
        </w:rPr>
      </w:pPr>
    </w:p>
    <w:p w14:paraId="0C6C6F24" w14:textId="77777777" w:rsidR="0064588F" w:rsidRDefault="00426080" w:rsidP="00BF6B40">
      <w:pPr>
        <w:spacing w:line="480" w:lineRule="auto"/>
        <w:outlineLvl w:val="0"/>
        <w:rPr>
          <w:b/>
        </w:rPr>
      </w:pPr>
      <w:r w:rsidRPr="00E32F69">
        <w:rPr>
          <w:b/>
        </w:rPr>
        <w:t>Acknowledgements</w:t>
      </w:r>
    </w:p>
    <w:p w14:paraId="3FCE1E98" w14:textId="417A736A" w:rsidR="0097543F" w:rsidRDefault="00E92D4D" w:rsidP="00BD4564">
      <w:pPr>
        <w:widowControl w:val="0"/>
        <w:autoSpaceDE w:val="0"/>
        <w:autoSpaceDN w:val="0"/>
        <w:adjustRightInd w:val="0"/>
        <w:spacing w:line="480" w:lineRule="auto"/>
      </w:pPr>
      <w:r w:rsidRPr="00E92D4D">
        <w:rPr>
          <w:rFonts w:ascii="TimesNewRoman" w:hAnsi="TimesNewRoman"/>
        </w:rPr>
        <w:t xml:space="preserve">The authors would like to thank Prof. W. Thorman, Regula Theurillat and Friederike Sandbaumhüter from the </w:t>
      </w:r>
      <w:r w:rsidRPr="00E92D4D">
        <w:rPr>
          <w:rFonts w:ascii="TimesNewRoman" w:hAnsi="TimesNewRoman" w:cs="Helvetica"/>
          <w:lang w:val="de-DE" w:eastAsia="en-GB"/>
        </w:rPr>
        <w:t>Clinical Pharmacology Laboratory</w:t>
      </w:r>
      <w:r>
        <w:rPr>
          <w:rFonts w:ascii="TimesNewRoman" w:hAnsi="TimesNewRoman" w:cs="Helvetica"/>
          <w:lang w:val="de-DE" w:eastAsia="en-GB"/>
        </w:rPr>
        <w:t xml:space="preserve"> </w:t>
      </w:r>
      <w:r w:rsidRPr="00E92D4D">
        <w:rPr>
          <w:rFonts w:ascii="TimesNewRoman" w:hAnsi="TimesNewRoman" w:cs="Helvetica"/>
          <w:lang w:val="de-DE" w:eastAsia="en-GB"/>
        </w:rPr>
        <w:t>Institute for Infectious Diseases</w:t>
      </w:r>
      <w:r>
        <w:rPr>
          <w:rFonts w:ascii="TimesNewRoman" w:hAnsi="TimesNewRoman" w:cs="Helvetica"/>
          <w:lang w:val="de-DE" w:eastAsia="en-GB"/>
        </w:rPr>
        <w:t xml:space="preserve"> of the University of Berne, Switzerland for the help with the analyses and the calculations of </w:t>
      </w:r>
      <w:r w:rsidR="00BD4564">
        <w:rPr>
          <w:rFonts w:ascii="TimesNewRoman" w:hAnsi="TimesNewRoman" w:cs="Helvetica"/>
          <w:lang w:val="de-DE" w:eastAsia="en-GB"/>
        </w:rPr>
        <w:t xml:space="preserve">the pharmacokinetic data. </w:t>
      </w:r>
      <w:r w:rsidR="003B0389" w:rsidRPr="003B0389">
        <w:t>This research did not receive any specific grant from funding agencies in the public, commercial, or not-for-profit sectors.</w:t>
      </w:r>
    </w:p>
    <w:p w14:paraId="7B361FAB" w14:textId="77777777" w:rsidR="003B0389" w:rsidRPr="003B0389" w:rsidRDefault="003B0389" w:rsidP="003B0389">
      <w:pPr>
        <w:spacing w:line="480" w:lineRule="auto"/>
      </w:pPr>
    </w:p>
    <w:p w14:paraId="617890B9" w14:textId="77777777" w:rsidR="00426080" w:rsidRPr="0097543F" w:rsidRDefault="00426080" w:rsidP="00BF6B40">
      <w:pPr>
        <w:widowControl w:val="0"/>
        <w:autoSpaceDE w:val="0"/>
        <w:autoSpaceDN w:val="0"/>
        <w:adjustRightInd w:val="0"/>
        <w:spacing w:line="480" w:lineRule="auto"/>
        <w:outlineLvl w:val="0"/>
        <w:rPr>
          <w:b/>
        </w:rPr>
      </w:pPr>
      <w:r w:rsidRPr="00972135">
        <w:rPr>
          <w:b/>
        </w:rPr>
        <w:t>References</w:t>
      </w:r>
    </w:p>
    <w:p w14:paraId="6954EB70" w14:textId="7635FFBE" w:rsidR="00E76D3D" w:rsidRPr="00F65D24" w:rsidRDefault="009D4C9C" w:rsidP="00BF6B40">
      <w:pPr>
        <w:pStyle w:val="title1"/>
        <w:shd w:val="clear" w:color="auto" w:fill="FFFFFF"/>
        <w:spacing w:line="480" w:lineRule="auto"/>
        <w:rPr>
          <w:sz w:val="24"/>
          <w:szCs w:val="24"/>
        </w:rPr>
      </w:pPr>
      <w:r w:rsidRPr="00F65D24">
        <w:rPr>
          <w:sz w:val="24"/>
          <w:szCs w:val="24"/>
        </w:rPr>
        <w:t>Adams, H.A.</w:t>
      </w:r>
      <w:r w:rsidR="00F65D24">
        <w:rPr>
          <w:sz w:val="24"/>
          <w:szCs w:val="24"/>
        </w:rPr>
        <w:t>,</w:t>
      </w:r>
      <w:r w:rsidR="00E76D3D" w:rsidRPr="00F65D24">
        <w:rPr>
          <w:sz w:val="24"/>
          <w:szCs w:val="24"/>
        </w:rPr>
        <w:t xml:space="preserve"> Werner, C.</w:t>
      </w:r>
      <w:r w:rsidR="00F65D24" w:rsidRPr="00F65D24">
        <w:rPr>
          <w:sz w:val="24"/>
          <w:szCs w:val="24"/>
        </w:rPr>
        <w:t>,</w:t>
      </w:r>
      <w:r w:rsidR="000F1367" w:rsidRPr="00F65D24">
        <w:rPr>
          <w:sz w:val="24"/>
          <w:szCs w:val="24"/>
        </w:rPr>
        <w:t xml:space="preserve"> </w:t>
      </w:r>
      <w:r w:rsidR="00E76D3D" w:rsidRPr="00F65D24">
        <w:rPr>
          <w:sz w:val="24"/>
          <w:szCs w:val="24"/>
        </w:rPr>
        <w:t>1997</w:t>
      </w:r>
      <w:r w:rsidR="00F65D24" w:rsidRPr="00F65D24">
        <w:rPr>
          <w:sz w:val="24"/>
          <w:szCs w:val="24"/>
        </w:rPr>
        <w:t>.</w:t>
      </w:r>
      <w:r w:rsidR="00E76D3D" w:rsidRPr="00F65D24">
        <w:rPr>
          <w:sz w:val="24"/>
          <w:szCs w:val="24"/>
        </w:rPr>
        <w:t xml:space="preserve"> From the racemate to the e</w:t>
      </w:r>
      <w:r w:rsidR="008F0862" w:rsidRPr="00F65D24">
        <w:rPr>
          <w:sz w:val="24"/>
          <w:szCs w:val="24"/>
        </w:rPr>
        <w:t>nan</w:t>
      </w:r>
      <w:r w:rsidR="00E76D3D" w:rsidRPr="00F65D24">
        <w:rPr>
          <w:sz w:val="24"/>
          <w:szCs w:val="24"/>
        </w:rPr>
        <w:t>t</w:t>
      </w:r>
      <w:r w:rsidR="008F0862" w:rsidRPr="00F65D24">
        <w:rPr>
          <w:sz w:val="24"/>
          <w:szCs w:val="24"/>
        </w:rPr>
        <w:t>i</w:t>
      </w:r>
      <w:r w:rsidR="00E76D3D" w:rsidRPr="00F65D24">
        <w:rPr>
          <w:sz w:val="24"/>
          <w:szCs w:val="24"/>
        </w:rPr>
        <w:t xml:space="preserve">omer: (S)-ketamine. </w:t>
      </w:r>
      <w:r w:rsidR="00140970">
        <w:rPr>
          <w:sz w:val="24"/>
          <w:szCs w:val="24"/>
        </w:rPr>
        <w:t xml:space="preserve">Renaissance of a substance? </w:t>
      </w:r>
      <w:r w:rsidR="00E76D3D" w:rsidRPr="00F65D24">
        <w:rPr>
          <w:sz w:val="24"/>
          <w:szCs w:val="24"/>
        </w:rPr>
        <w:t>Anaesthesist 46, 1026</w:t>
      </w:r>
      <w:r w:rsidR="00A95994" w:rsidRPr="00F65D24">
        <w:rPr>
          <w:sz w:val="24"/>
          <w:szCs w:val="24"/>
        </w:rPr>
        <w:t>–</w:t>
      </w:r>
      <w:r w:rsidR="00E76D3D" w:rsidRPr="00F65D24">
        <w:rPr>
          <w:sz w:val="24"/>
          <w:szCs w:val="24"/>
        </w:rPr>
        <w:t>1042.</w:t>
      </w:r>
    </w:p>
    <w:p w14:paraId="79D9068B" w14:textId="77777777" w:rsidR="00E76D3D" w:rsidRPr="00F65D24" w:rsidRDefault="00E76D3D" w:rsidP="00BF6B40">
      <w:pPr>
        <w:pStyle w:val="title1"/>
        <w:shd w:val="clear" w:color="auto" w:fill="FFFFFF"/>
        <w:spacing w:line="480" w:lineRule="auto"/>
        <w:rPr>
          <w:sz w:val="24"/>
          <w:szCs w:val="24"/>
        </w:rPr>
      </w:pPr>
    </w:p>
    <w:p w14:paraId="15DD010E" w14:textId="2381ABC1" w:rsidR="00E76D3D" w:rsidRPr="00F65D24" w:rsidRDefault="00E76D3D" w:rsidP="00BF6B40">
      <w:pPr>
        <w:pStyle w:val="title1"/>
        <w:shd w:val="clear" w:color="auto" w:fill="FFFFFF"/>
        <w:spacing w:line="480" w:lineRule="auto"/>
        <w:rPr>
          <w:sz w:val="24"/>
          <w:szCs w:val="24"/>
        </w:rPr>
      </w:pPr>
      <w:r w:rsidRPr="00F65D24">
        <w:rPr>
          <w:sz w:val="24"/>
          <w:szCs w:val="24"/>
        </w:rPr>
        <w:t>C</w:t>
      </w:r>
      <w:r w:rsidR="00DC1636" w:rsidRPr="00F65D24">
        <w:rPr>
          <w:sz w:val="24"/>
          <w:szCs w:val="24"/>
        </w:rPr>
        <w:t>h</w:t>
      </w:r>
      <w:r w:rsidR="00140970">
        <w:rPr>
          <w:sz w:val="24"/>
          <w:szCs w:val="24"/>
        </w:rPr>
        <w:t>iou, W.L., Lam, G., Chen, M.L.,</w:t>
      </w:r>
      <w:r w:rsidRPr="00F65D24">
        <w:rPr>
          <w:sz w:val="24"/>
          <w:szCs w:val="24"/>
        </w:rPr>
        <w:t xml:space="preserve"> Lee, M.G.</w:t>
      </w:r>
      <w:r w:rsidR="00140970">
        <w:rPr>
          <w:sz w:val="24"/>
          <w:szCs w:val="24"/>
        </w:rPr>
        <w:t>,</w:t>
      </w:r>
      <w:r w:rsidRPr="00F65D24">
        <w:rPr>
          <w:sz w:val="24"/>
          <w:szCs w:val="24"/>
        </w:rPr>
        <w:t xml:space="preserve"> 1981</w:t>
      </w:r>
      <w:r w:rsidR="00140970">
        <w:rPr>
          <w:sz w:val="24"/>
          <w:szCs w:val="24"/>
        </w:rPr>
        <w:t>.</w:t>
      </w:r>
      <w:r w:rsidRPr="00F65D24">
        <w:rPr>
          <w:sz w:val="24"/>
          <w:szCs w:val="24"/>
        </w:rPr>
        <w:t xml:space="preserve"> Arterial-venous plasma concentration differences of six drugs in the dog and rabbit after intravenous administration. </w:t>
      </w:r>
      <w:r w:rsidR="006D0BC7" w:rsidRPr="00F65D24">
        <w:rPr>
          <w:sz w:val="24"/>
          <w:szCs w:val="24"/>
        </w:rPr>
        <w:t>Res</w:t>
      </w:r>
      <w:r w:rsidR="00140970">
        <w:rPr>
          <w:sz w:val="24"/>
          <w:szCs w:val="24"/>
        </w:rPr>
        <w:t>.</w:t>
      </w:r>
      <w:r w:rsidR="006D0BC7" w:rsidRPr="00F65D24">
        <w:rPr>
          <w:sz w:val="24"/>
          <w:szCs w:val="24"/>
        </w:rPr>
        <w:t xml:space="preserve"> Commun</w:t>
      </w:r>
      <w:r w:rsidR="00140970">
        <w:rPr>
          <w:sz w:val="24"/>
          <w:szCs w:val="24"/>
        </w:rPr>
        <w:t>.</w:t>
      </w:r>
      <w:r w:rsidR="006D0BC7" w:rsidRPr="00F65D24">
        <w:rPr>
          <w:sz w:val="24"/>
          <w:szCs w:val="24"/>
        </w:rPr>
        <w:t xml:space="preserve"> </w:t>
      </w:r>
      <w:r w:rsidR="00140970">
        <w:rPr>
          <w:sz w:val="24"/>
          <w:szCs w:val="24"/>
        </w:rPr>
        <w:t>Chem.</w:t>
      </w:r>
      <w:r w:rsidR="006D0BC7" w:rsidRPr="00F65D24">
        <w:rPr>
          <w:sz w:val="24"/>
          <w:szCs w:val="24"/>
        </w:rPr>
        <w:t xml:space="preserve"> Path</w:t>
      </w:r>
      <w:r w:rsidR="00140970">
        <w:rPr>
          <w:sz w:val="24"/>
          <w:szCs w:val="24"/>
        </w:rPr>
        <w:t>.</w:t>
      </w:r>
      <w:r w:rsidRPr="00F65D24">
        <w:rPr>
          <w:sz w:val="24"/>
          <w:szCs w:val="24"/>
        </w:rPr>
        <w:t xml:space="preserve"> 32, 27</w:t>
      </w:r>
      <w:r w:rsidR="00A95994" w:rsidRPr="00F65D24">
        <w:rPr>
          <w:sz w:val="24"/>
          <w:szCs w:val="24"/>
        </w:rPr>
        <w:t>–</w:t>
      </w:r>
      <w:r w:rsidRPr="00F65D24">
        <w:rPr>
          <w:sz w:val="24"/>
          <w:szCs w:val="24"/>
        </w:rPr>
        <w:t>39.</w:t>
      </w:r>
    </w:p>
    <w:p w14:paraId="5A7E219E" w14:textId="77777777" w:rsidR="00E76D3D" w:rsidRPr="00F65D24" w:rsidRDefault="00E76D3D" w:rsidP="00BF6B40">
      <w:pPr>
        <w:pStyle w:val="title1"/>
        <w:shd w:val="clear" w:color="auto" w:fill="FFFFFF"/>
        <w:spacing w:line="480" w:lineRule="auto"/>
        <w:rPr>
          <w:sz w:val="24"/>
          <w:szCs w:val="24"/>
        </w:rPr>
      </w:pPr>
    </w:p>
    <w:p w14:paraId="33DC98B2" w14:textId="1FDD4743" w:rsidR="00E76D3D" w:rsidRPr="00F65D24" w:rsidRDefault="00E76D3D" w:rsidP="00BF6B40">
      <w:pPr>
        <w:pStyle w:val="title1"/>
        <w:shd w:val="clear" w:color="auto" w:fill="FFFFFF"/>
        <w:spacing w:line="480" w:lineRule="auto"/>
        <w:rPr>
          <w:sz w:val="24"/>
          <w:szCs w:val="24"/>
        </w:rPr>
      </w:pPr>
      <w:r w:rsidRPr="00F65D24">
        <w:rPr>
          <w:sz w:val="24"/>
          <w:szCs w:val="24"/>
        </w:rPr>
        <w:t>Chiou, W.L.</w:t>
      </w:r>
      <w:r w:rsidR="00140970">
        <w:rPr>
          <w:sz w:val="24"/>
          <w:szCs w:val="24"/>
        </w:rPr>
        <w:t>,</w:t>
      </w:r>
      <w:r w:rsidRPr="00F65D24">
        <w:rPr>
          <w:sz w:val="24"/>
          <w:szCs w:val="24"/>
        </w:rPr>
        <w:t xml:space="preserve"> 1989</w:t>
      </w:r>
      <w:r w:rsidR="00140970">
        <w:rPr>
          <w:sz w:val="24"/>
          <w:szCs w:val="24"/>
        </w:rPr>
        <w:t>.</w:t>
      </w:r>
      <w:r w:rsidRPr="00F65D24">
        <w:rPr>
          <w:sz w:val="24"/>
          <w:szCs w:val="24"/>
        </w:rPr>
        <w:t xml:space="preserve"> The phenomenon and rationale of marked dependence of drug concentration on blood sampling site. Implications in pharmacokinetics, pharmacodynamics, toxicology and therapeutics (Part I). </w:t>
      </w:r>
      <w:r w:rsidR="006D0BC7" w:rsidRPr="00F65D24">
        <w:rPr>
          <w:sz w:val="24"/>
          <w:szCs w:val="24"/>
        </w:rPr>
        <w:t>Clin Pharmacokinet</w:t>
      </w:r>
      <w:r w:rsidR="00DC1636" w:rsidRPr="00F65D24">
        <w:rPr>
          <w:sz w:val="24"/>
          <w:szCs w:val="24"/>
        </w:rPr>
        <w:t>,</w:t>
      </w:r>
      <w:r w:rsidRPr="00F65D24">
        <w:rPr>
          <w:sz w:val="24"/>
          <w:szCs w:val="24"/>
        </w:rPr>
        <w:t xml:space="preserve"> 17, 175</w:t>
      </w:r>
      <w:r w:rsidR="00A95994" w:rsidRPr="00F65D24">
        <w:rPr>
          <w:sz w:val="24"/>
          <w:szCs w:val="24"/>
        </w:rPr>
        <w:t>–</w:t>
      </w:r>
      <w:r w:rsidR="00B262D4" w:rsidRPr="00F65D24">
        <w:rPr>
          <w:sz w:val="24"/>
          <w:szCs w:val="24"/>
        </w:rPr>
        <w:t>1</w:t>
      </w:r>
      <w:r w:rsidR="00140970">
        <w:rPr>
          <w:sz w:val="24"/>
          <w:szCs w:val="24"/>
        </w:rPr>
        <w:t>99.</w:t>
      </w:r>
    </w:p>
    <w:p w14:paraId="30DAA687" w14:textId="77777777" w:rsidR="00E76D3D" w:rsidRPr="00F65D24" w:rsidRDefault="00E76D3D" w:rsidP="00BF6B40">
      <w:pPr>
        <w:pStyle w:val="title1"/>
        <w:shd w:val="clear" w:color="auto" w:fill="FFFFFF"/>
        <w:spacing w:line="480" w:lineRule="auto"/>
        <w:rPr>
          <w:sz w:val="24"/>
          <w:szCs w:val="24"/>
        </w:rPr>
      </w:pPr>
    </w:p>
    <w:p w14:paraId="4F3355EB" w14:textId="34AF5B73" w:rsidR="00E76D3D" w:rsidRPr="00F65D24" w:rsidRDefault="00E76D3D" w:rsidP="00BF6B40">
      <w:pPr>
        <w:pStyle w:val="title1"/>
        <w:shd w:val="clear" w:color="auto" w:fill="FFFFFF"/>
        <w:spacing w:line="480" w:lineRule="auto"/>
        <w:rPr>
          <w:sz w:val="24"/>
          <w:szCs w:val="24"/>
        </w:rPr>
      </w:pPr>
      <w:r w:rsidRPr="00F65D24">
        <w:rPr>
          <w:sz w:val="24"/>
          <w:szCs w:val="24"/>
        </w:rPr>
        <w:t>Delatour, P., Jassaud, P., Courtot, D.</w:t>
      </w:r>
      <w:r w:rsidR="00140970">
        <w:rPr>
          <w:sz w:val="24"/>
          <w:szCs w:val="24"/>
        </w:rPr>
        <w:t>,</w:t>
      </w:r>
      <w:r w:rsidRPr="00F65D24">
        <w:rPr>
          <w:sz w:val="24"/>
          <w:szCs w:val="24"/>
        </w:rPr>
        <w:t xml:space="preserve"> Fau, D.</w:t>
      </w:r>
      <w:r w:rsidR="00140970">
        <w:rPr>
          <w:sz w:val="24"/>
          <w:szCs w:val="24"/>
        </w:rPr>
        <w:t>,</w:t>
      </w:r>
      <w:r w:rsidRPr="00F65D24">
        <w:rPr>
          <w:sz w:val="24"/>
          <w:szCs w:val="24"/>
        </w:rPr>
        <w:t xml:space="preserve"> 1991</w:t>
      </w:r>
      <w:r w:rsidR="00140970">
        <w:rPr>
          <w:sz w:val="24"/>
          <w:szCs w:val="24"/>
        </w:rPr>
        <w:t>.</w:t>
      </w:r>
      <w:r w:rsidRPr="00F65D24">
        <w:rPr>
          <w:sz w:val="24"/>
          <w:szCs w:val="24"/>
        </w:rPr>
        <w:t xml:space="preserve"> Enantioselecti</w:t>
      </w:r>
      <w:r w:rsidR="008F0862" w:rsidRPr="00F65D24">
        <w:rPr>
          <w:sz w:val="24"/>
          <w:szCs w:val="24"/>
        </w:rPr>
        <w:t>v</w:t>
      </w:r>
      <w:r w:rsidRPr="00F65D24">
        <w:rPr>
          <w:sz w:val="24"/>
          <w:szCs w:val="24"/>
        </w:rPr>
        <w:t xml:space="preserve">e N-demethylation of ketamine in the horse. </w:t>
      </w:r>
      <w:r w:rsidR="006D0BC7" w:rsidRPr="00F65D24">
        <w:rPr>
          <w:sz w:val="24"/>
          <w:szCs w:val="24"/>
        </w:rPr>
        <w:t>J</w:t>
      </w:r>
      <w:r w:rsidR="00140970">
        <w:rPr>
          <w:sz w:val="24"/>
          <w:szCs w:val="24"/>
        </w:rPr>
        <w:t xml:space="preserve">. </w:t>
      </w:r>
      <w:r w:rsidR="006D0BC7" w:rsidRPr="00F65D24">
        <w:rPr>
          <w:sz w:val="24"/>
          <w:szCs w:val="24"/>
        </w:rPr>
        <w:t>Vet</w:t>
      </w:r>
      <w:r w:rsidR="00140970">
        <w:rPr>
          <w:sz w:val="24"/>
          <w:szCs w:val="24"/>
        </w:rPr>
        <w:t xml:space="preserve">. </w:t>
      </w:r>
      <w:r w:rsidR="006D0BC7" w:rsidRPr="00F65D24">
        <w:rPr>
          <w:sz w:val="24"/>
          <w:szCs w:val="24"/>
        </w:rPr>
        <w:t>Pharmacol</w:t>
      </w:r>
      <w:r w:rsidR="00140970">
        <w:rPr>
          <w:sz w:val="24"/>
          <w:szCs w:val="24"/>
        </w:rPr>
        <w:t xml:space="preserve">. </w:t>
      </w:r>
      <w:r w:rsidR="006D0BC7" w:rsidRPr="00F65D24">
        <w:rPr>
          <w:sz w:val="24"/>
          <w:szCs w:val="24"/>
        </w:rPr>
        <w:t>Ther</w:t>
      </w:r>
      <w:r w:rsidR="00140970">
        <w:rPr>
          <w:sz w:val="24"/>
          <w:szCs w:val="24"/>
        </w:rPr>
        <w:t>.</w:t>
      </w:r>
      <w:r w:rsidR="00B262D4" w:rsidRPr="00F65D24">
        <w:rPr>
          <w:sz w:val="24"/>
          <w:szCs w:val="24"/>
        </w:rPr>
        <w:t xml:space="preserve"> </w:t>
      </w:r>
      <w:r w:rsidRPr="00F65D24">
        <w:rPr>
          <w:sz w:val="24"/>
          <w:szCs w:val="24"/>
        </w:rPr>
        <w:t>14, 209</w:t>
      </w:r>
      <w:r w:rsidR="00A95994" w:rsidRPr="00F65D24">
        <w:rPr>
          <w:sz w:val="24"/>
          <w:szCs w:val="24"/>
        </w:rPr>
        <w:t>–</w:t>
      </w:r>
      <w:r w:rsidR="00B262D4" w:rsidRPr="00F65D24">
        <w:rPr>
          <w:sz w:val="24"/>
          <w:szCs w:val="24"/>
        </w:rPr>
        <w:t>2</w:t>
      </w:r>
      <w:r w:rsidRPr="00F65D24">
        <w:rPr>
          <w:sz w:val="24"/>
          <w:szCs w:val="24"/>
        </w:rPr>
        <w:t>12.</w:t>
      </w:r>
    </w:p>
    <w:p w14:paraId="7F740025" w14:textId="77777777" w:rsidR="00E76D3D" w:rsidRPr="00F65D24" w:rsidRDefault="00E76D3D" w:rsidP="00BF6B40">
      <w:pPr>
        <w:pStyle w:val="title1"/>
        <w:shd w:val="clear" w:color="auto" w:fill="FFFFFF"/>
        <w:spacing w:line="480" w:lineRule="auto"/>
        <w:rPr>
          <w:sz w:val="24"/>
          <w:szCs w:val="24"/>
        </w:rPr>
      </w:pPr>
    </w:p>
    <w:p w14:paraId="20367B3D" w14:textId="02F9E863" w:rsidR="00E76D3D" w:rsidRPr="00F65D24" w:rsidRDefault="00E76D3D" w:rsidP="00BF6B40">
      <w:pPr>
        <w:pStyle w:val="title1"/>
        <w:shd w:val="clear" w:color="auto" w:fill="FFFFFF"/>
        <w:spacing w:line="480" w:lineRule="auto"/>
        <w:rPr>
          <w:sz w:val="24"/>
          <w:szCs w:val="24"/>
        </w:rPr>
      </w:pPr>
      <w:r w:rsidRPr="00F65D24">
        <w:rPr>
          <w:sz w:val="24"/>
          <w:szCs w:val="24"/>
        </w:rPr>
        <w:t>Deleforge</w:t>
      </w:r>
      <w:r w:rsidR="00DD4C81" w:rsidRPr="00F65D24">
        <w:rPr>
          <w:sz w:val="24"/>
          <w:szCs w:val="24"/>
        </w:rPr>
        <w:t>, J., Davot, J.L., Boisrame, B.</w:t>
      </w:r>
      <w:r w:rsidR="00140970">
        <w:rPr>
          <w:sz w:val="24"/>
          <w:szCs w:val="24"/>
        </w:rPr>
        <w:t>,</w:t>
      </w:r>
      <w:r w:rsidR="00DD4C81" w:rsidRPr="00F65D24">
        <w:rPr>
          <w:sz w:val="24"/>
          <w:szCs w:val="24"/>
        </w:rPr>
        <w:t xml:space="preserve"> Delatour, P.</w:t>
      </w:r>
      <w:r w:rsidR="00140970">
        <w:rPr>
          <w:sz w:val="24"/>
          <w:szCs w:val="24"/>
        </w:rPr>
        <w:t xml:space="preserve">, </w:t>
      </w:r>
      <w:r w:rsidRPr="00F65D24">
        <w:rPr>
          <w:sz w:val="24"/>
          <w:szCs w:val="24"/>
        </w:rPr>
        <w:t>1991</w:t>
      </w:r>
      <w:r w:rsidR="00140970">
        <w:rPr>
          <w:sz w:val="24"/>
          <w:szCs w:val="24"/>
        </w:rPr>
        <w:t>.</w:t>
      </w:r>
      <w:r w:rsidRPr="00F65D24">
        <w:rPr>
          <w:sz w:val="24"/>
          <w:szCs w:val="24"/>
        </w:rPr>
        <w:t xml:space="preserve"> Enantioselectivity in the anaesthetic effect of ketamine in dogs. </w:t>
      </w:r>
      <w:r w:rsidR="006D0BC7" w:rsidRPr="00F65D24">
        <w:rPr>
          <w:sz w:val="24"/>
          <w:szCs w:val="24"/>
        </w:rPr>
        <w:t>J</w:t>
      </w:r>
      <w:r w:rsidR="00140970">
        <w:rPr>
          <w:sz w:val="24"/>
          <w:szCs w:val="24"/>
        </w:rPr>
        <w:t xml:space="preserve">. </w:t>
      </w:r>
      <w:r w:rsidR="006D0BC7" w:rsidRPr="00F65D24">
        <w:rPr>
          <w:sz w:val="24"/>
          <w:szCs w:val="24"/>
        </w:rPr>
        <w:t>Vet</w:t>
      </w:r>
      <w:r w:rsidR="00140970">
        <w:rPr>
          <w:sz w:val="24"/>
          <w:szCs w:val="24"/>
        </w:rPr>
        <w:t>.</w:t>
      </w:r>
      <w:r w:rsidR="006D0BC7" w:rsidRPr="00F65D24">
        <w:rPr>
          <w:sz w:val="24"/>
          <w:szCs w:val="24"/>
        </w:rPr>
        <w:t xml:space="preserve"> Pharmacol</w:t>
      </w:r>
      <w:r w:rsidR="00140970">
        <w:rPr>
          <w:sz w:val="24"/>
          <w:szCs w:val="24"/>
        </w:rPr>
        <w:t>.</w:t>
      </w:r>
      <w:r w:rsidR="006D0BC7" w:rsidRPr="00F65D24">
        <w:rPr>
          <w:sz w:val="24"/>
          <w:szCs w:val="24"/>
        </w:rPr>
        <w:t xml:space="preserve"> Ther</w:t>
      </w:r>
      <w:r w:rsidR="00140970">
        <w:rPr>
          <w:sz w:val="24"/>
          <w:szCs w:val="24"/>
        </w:rPr>
        <w:t>.</w:t>
      </w:r>
      <w:r w:rsidR="006D0BC7" w:rsidRPr="00F65D24">
        <w:rPr>
          <w:sz w:val="24"/>
          <w:szCs w:val="24"/>
        </w:rPr>
        <w:t xml:space="preserve"> </w:t>
      </w:r>
      <w:r w:rsidRPr="00F65D24">
        <w:rPr>
          <w:sz w:val="24"/>
          <w:szCs w:val="24"/>
        </w:rPr>
        <w:t>14, 418</w:t>
      </w:r>
      <w:r w:rsidR="00A95994" w:rsidRPr="00F65D24">
        <w:rPr>
          <w:sz w:val="24"/>
          <w:szCs w:val="24"/>
        </w:rPr>
        <w:t>–</w:t>
      </w:r>
      <w:r w:rsidRPr="00F65D24">
        <w:rPr>
          <w:sz w:val="24"/>
          <w:szCs w:val="24"/>
        </w:rPr>
        <w:t>420.</w:t>
      </w:r>
    </w:p>
    <w:p w14:paraId="652286EF" w14:textId="77777777" w:rsidR="00E76D3D" w:rsidRPr="00F65D24" w:rsidRDefault="00E76D3D" w:rsidP="00BF6B40">
      <w:pPr>
        <w:pStyle w:val="title1"/>
        <w:shd w:val="clear" w:color="auto" w:fill="FFFFFF"/>
        <w:spacing w:line="480" w:lineRule="auto"/>
        <w:rPr>
          <w:sz w:val="24"/>
          <w:szCs w:val="24"/>
        </w:rPr>
      </w:pPr>
    </w:p>
    <w:p w14:paraId="789F6C5E" w14:textId="17D2BCE4" w:rsidR="00E76D3D" w:rsidRPr="00F65D24" w:rsidRDefault="00E76D3D" w:rsidP="00BF6B40">
      <w:pPr>
        <w:pStyle w:val="title1"/>
        <w:shd w:val="clear" w:color="auto" w:fill="FFFFFF"/>
        <w:spacing w:line="480" w:lineRule="auto"/>
        <w:rPr>
          <w:sz w:val="24"/>
          <w:szCs w:val="24"/>
        </w:rPr>
      </w:pPr>
      <w:r w:rsidRPr="00F65D24">
        <w:rPr>
          <w:sz w:val="24"/>
          <w:szCs w:val="24"/>
        </w:rPr>
        <w:t>Doenicke, A., Kugler, J., Mayer M., Angster, R.</w:t>
      </w:r>
      <w:r w:rsidR="00451F79">
        <w:rPr>
          <w:sz w:val="24"/>
          <w:szCs w:val="24"/>
        </w:rPr>
        <w:t>,</w:t>
      </w:r>
      <w:r w:rsidRPr="00F65D24">
        <w:rPr>
          <w:sz w:val="24"/>
          <w:szCs w:val="24"/>
        </w:rPr>
        <w:t xml:space="preserve"> Hoffmann, P.</w:t>
      </w:r>
      <w:r w:rsidR="00451F79">
        <w:rPr>
          <w:sz w:val="24"/>
          <w:szCs w:val="24"/>
        </w:rPr>
        <w:t xml:space="preserve">, </w:t>
      </w:r>
      <w:r w:rsidRPr="00F65D24">
        <w:rPr>
          <w:sz w:val="24"/>
          <w:szCs w:val="24"/>
        </w:rPr>
        <w:t>1992</w:t>
      </w:r>
      <w:r w:rsidR="00451F79">
        <w:rPr>
          <w:sz w:val="24"/>
          <w:szCs w:val="24"/>
        </w:rPr>
        <w:t>.</w:t>
      </w:r>
      <w:r w:rsidR="00985234">
        <w:rPr>
          <w:sz w:val="24"/>
          <w:szCs w:val="24"/>
        </w:rPr>
        <w:t xml:space="preserve"> Ketamine racemate or S</w:t>
      </w:r>
      <w:r w:rsidRPr="00F65D24">
        <w:rPr>
          <w:sz w:val="24"/>
          <w:szCs w:val="24"/>
        </w:rPr>
        <w:t>(+)-ketamine and midazolam. The effect on vigilance, ef</w:t>
      </w:r>
      <w:r w:rsidR="00451F79">
        <w:rPr>
          <w:sz w:val="24"/>
          <w:szCs w:val="24"/>
        </w:rPr>
        <w:t xml:space="preserve">ficacy and subjective findings. </w:t>
      </w:r>
      <w:r w:rsidRPr="00F65D24">
        <w:rPr>
          <w:sz w:val="24"/>
          <w:szCs w:val="24"/>
        </w:rPr>
        <w:t>Anaesthesist 41, 610</w:t>
      </w:r>
      <w:r w:rsidR="00A95994" w:rsidRPr="00F65D24">
        <w:rPr>
          <w:sz w:val="24"/>
          <w:szCs w:val="24"/>
        </w:rPr>
        <w:t>–</w:t>
      </w:r>
      <w:r w:rsidRPr="00F65D24">
        <w:rPr>
          <w:sz w:val="24"/>
          <w:szCs w:val="24"/>
        </w:rPr>
        <w:t>618.</w:t>
      </w:r>
    </w:p>
    <w:p w14:paraId="170D416B" w14:textId="77777777" w:rsidR="00E76D3D" w:rsidRPr="00F65D24" w:rsidRDefault="00E76D3D" w:rsidP="00BF6B40">
      <w:pPr>
        <w:pStyle w:val="title1"/>
        <w:shd w:val="clear" w:color="auto" w:fill="FFFFFF"/>
        <w:spacing w:line="480" w:lineRule="auto"/>
        <w:rPr>
          <w:sz w:val="24"/>
          <w:szCs w:val="24"/>
        </w:rPr>
      </w:pPr>
    </w:p>
    <w:p w14:paraId="729375AB" w14:textId="08BD6387" w:rsidR="00E76D3D" w:rsidRPr="00F65D24" w:rsidRDefault="00E76D3D" w:rsidP="00BF6B40">
      <w:pPr>
        <w:pStyle w:val="title1"/>
        <w:shd w:val="clear" w:color="auto" w:fill="FFFFFF"/>
        <w:spacing w:line="480" w:lineRule="auto"/>
        <w:rPr>
          <w:sz w:val="24"/>
          <w:szCs w:val="24"/>
        </w:rPr>
      </w:pPr>
      <w:r w:rsidRPr="00F65D24">
        <w:rPr>
          <w:sz w:val="24"/>
          <w:szCs w:val="24"/>
        </w:rPr>
        <w:t>Duque, J.C., Oleskovicz N., Gu</w:t>
      </w:r>
      <w:r w:rsidR="00DD4C81" w:rsidRPr="00F65D24">
        <w:rPr>
          <w:sz w:val="24"/>
          <w:szCs w:val="24"/>
        </w:rPr>
        <w:t>irro, E.C.B.P., Valadao, C.A.A.</w:t>
      </w:r>
      <w:r w:rsidR="00451F79">
        <w:rPr>
          <w:sz w:val="24"/>
          <w:szCs w:val="24"/>
        </w:rPr>
        <w:t>,</w:t>
      </w:r>
      <w:r w:rsidR="00DD4C81" w:rsidRPr="00F65D24">
        <w:rPr>
          <w:sz w:val="24"/>
          <w:szCs w:val="24"/>
        </w:rPr>
        <w:t xml:space="preserve"> </w:t>
      </w:r>
      <w:r w:rsidRPr="00F65D24">
        <w:rPr>
          <w:sz w:val="24"/>
          <w:szCs w:val="24"/>
        </w:rPr>
        <w:t>Soares, V.E.</w:t>
      </w:r>
      <w:r w:rsidR="00451F79">
        <w:rPr>
          <w:sz w:val="24"/>
          <w:szCs w:val="24"/>
        </w:rPr>
        <w:t>,</w:t>
      </w:r>
      <w:r w:rsidR="00DD4C81" w:rsidRPr="00F65D24">
        <w:rPr>
          <w:sz w:val="24"/>
          <w:szCs w:val="24"/>
        </w:rPr>
        <w:t xml:space="preserve"> </w:t>
      </w:r>
      <w:r w:rsidRPr="00F65D24">
        <w:rPr>
          <w:sz w:val="24"/>
          <w:szCs w:val="24"/>
        </w:rPr>
        <w:t>2008</w:t>
      </w:r>
      <w:r w:rsidR="00451F79">
        <w:rPr>
          <w:sz w:val="24"/>
          <w:szCs w:val="24"/>
        </w:rPr>
        <w:t>.</w:t>
      </w:r>
      <w:r w:rsidRPr="00F65D24">
        <w:rPr>
          <w:sz w:val="24"/>
          <w:szCs w:val="24"/>
        </w:rPr>
        <w:t xml:space="preserve"> Relative potency of ketamine and S(+)-ketamine in dogs. J</w:t>
      </w:r>
      <w:r w:rsidR="00451F79">
        <w:rPr>
          <w:sz w:val="24"/>
          <w:szCs w:val="24"/>
        </w:rPr>
        <w:t>.</w:t>
      </w:r>
      <w:r w:rsidRPr="00F65D24">
        <w:rPr>
          <w:sz w:val="24"/>
          <w:szCs w:val="24"/>
        </w:rPr>
        <w:t xml:space="preserve"> Vet</w:t>
      </w:r>
      <w:r w:rsidR="00451F79">
        <w:rPr>
          <w:sz w:val="24"/>
          <w:szCs w:val="24"/>
        </w:rPr>
        <w:t>.</w:t>
      </w:r>
      <w:r w:rsidRPr="00F65D24">
        <w:rPr>
          <w:sz w:val="24"/>
          <w:szCs w:val="24"/>
        </w:rPr>
        <w:t xml:space="preserve"> Pharmacol</w:t>
      </w:r>
      <w:r w:rsidR="00451F79">
        <w:rPr>
          <w:sz w:val="24"/>
          <w:szCs w:val="24"/>
        </w:rPr>
        <w:t>.</w:t>
      </w:r>
      <w:r w:rsidRPr="00F65D24">
        <w:rPr>
          <w:sz w:val="24"/>
          <w:szCs w:val="24"/>
        </w:rPr>
        <w:t xml:space="preserve"> Ther</w:t>
      </w:r>
      <w:r w:rsidR="00451F79">
        <w:rPr>
          <w:sz w:val="24"/>
          <w:szCs w:val="24"/>
        </w:rPr>
        <w:t>.</w:t>
      </w:r>
      <w:r w:rsidRPr="00F65D24">
        <w:rPr>
          <w:sz w:val="24"/>
          <w:szCs w:val="24"/>
        </w:rPr>
        <w:t xml:space="preserve"> 31, 344</w:t>
      </w:r>
      <w:r w:rsidR="00A95994" w:rsidRPr="00F65D24">
        <w:rPr>
          <w:sz w:val="24"/>
          <w:szCs w:val="24"/>
        </w:rPr>
        <w:t>–</w:t>
      </w:r>
      <w:r w:rsidRPr="00F65D24">
        <w:rPr>
          <w:sz w:val="24"/>
          <w:szCs w:val="24"/>
        </w:rPr>
        <w:t>348.</w:t>
      </w:r>
    </w:p>
    <w:p w14:paraId="1E160C1F" w14:textId="77777777" w:rsidR="00E76D3D" w:rsidRPr="00F65D24" w:rsidRDefault="00E76D3D" w:rsidP="00BF6B40">
      <w:pPr>
        <w:pStyle w:val="title1"/>
        <w:shd w:val="clear" w:color="auto" w:fill="FFFFFF"/>
        <w:spacing w:line="480" w:lineRule="auto"/>
        <w:rPr>
          <w:sz w:val="24"/>
          <w:szCs w:val="24"/>
        </w:rPr>
      </w:pPr>
    </w:p>
    <w:p w14:paraId="4EDBC36C" w14:textId="314B6DC5" w:rsidR="00E76D3D" w:rsidRPr="00F65D24" w:rsidRDefault="00E76D3D" w:rsidP="00BF6B40">
      <w:pPr>
        <w:pStyle w:val="title1"/>
        <w:shd w:val="clear" w:color="auto" w:fill="FFFFFF"/>
        <w:spacing w:line="480" w:lineRule="auto"/>
        <w:rPr>
          <w:sz w:val="24"/>
          <w:szCs w:val="24"/>
        </w:rPr>
      </w:pPr>
      <w:r w:rsidRPr="00F65D24">
        <w:rPr>
          <w:sz w:val="24"/>
          <w:szCs w:val="24"/>
        </w:rPr>
        <w:t>Henthorn, T.K., Krejcie, T.C., Niemann, C.U., Enders-Klein, C., Shanks, C.A.</w:t>
      </w:r>
      <w:r w:rsidR="00451F79">
        <w:rPr>
          <w:sz w:val="24"/>
          <w:szCs w:val="24"/>
        </w:rPr>
        <w:t>,</w:t>
      </w:r>
      <w:r w:rsidRPr="00F65D24">
        <w:rPr>
          <w:sz w:val="24"/>
          <w:szCs w:val="24"/>
        </w:rPr>
        <w:t xml:space="preserve"> Avram, M.J.</w:t>
      </w:r>
      <w:r w:rsidR="00451F79">
        <w:rPr>
          <w:sz w:val="24"/>
          <w:szCs w:val="24"/>
        </w:rPr>
        <w:t>,</w:t>
      </w:r>
      <w:r w:rsidR="00A662EA" w:rsidRPr="00F65D24">
        <w:rPr>
          <w:sz w:val="24"/>
          <w:szCs w:val="24"/>
        </w:rPr>
        <w:t xml:space="preserve"> </w:t>
      </w:r>
      <w:r w:rsidRPr="00F65D24">
        <w:rPr>
          <w:sz w:val="24"/>
          <w:szCs w:val="24"/>
        </w:rPr>
        <w:t>1999</w:t>
      </w:r>
      <w:r w:rsidR="00451F79">
        <w:rPr>
          <w:sz w:val="24"/>
          <w:szCs w:val="24"/>
        </w:rPr>
        <w:t>.</w:t>
      </w:r>
      <w:r w:rsidRPr="00F65D24">
        <w:rPr>
          <w:sz w:val="24"/>
          <w:szCs w:val="24"/>
        </w:rPr>
        <w:t xml:space="preserve"> Ketamine distribution described by a recirculatory pharmacokinetic model is not stereoselective. Anest</w:t>
      </w:r>
      <w:r w:rsidR="00052C68" w:rsidRPr="00F65D24">
        <w:rPr>
          <w:sz w:val="24"/>
          <w:szCs w:val="24"/>
        </w:rPr>
        <w:t>h</w:t>
      </w:r>
      <w:r w:rsidRPr="00F65D24">
        <w:rPr>
          <w:sz w:val="24"/>
          <w:szCs w:val="24"/>
        </w:rPr>
        <w:t>esiology</w:t>
      </w:r>
      <w:r w:rsidR="00451F79">
        <w:rPr>
          <w:sz w:val="24"/>
          <w:szCs w:val="24"/>
        </w:rPr>
        <w:t xml:space="preserve"> </w:t>
      </w:r>
      <w:r w:rsidRPr="00F65D24">
        <w:rPr>
          <w:sz w:val="24"/>
          <w:szCs w:val="24"/>
        </w:rPr>
        <w:t>91, 1733</w:t>
      </w:r>
      <w:r w:rsidR="00A95994" w:rsidRPr="00F65D24">
        <w:rPr>
          <w:sz w:val="24"/>
          <w:szCs w:val="24"/>
        </w:rPr>
        <w:t>–</w:t>
      </w:r>
      <w:r w:rsidRPr="00F65D24">
        <w:rPr>
          <w:sz w:val="24"/>
          <w:szCs w:val="24"/>
        </w:rPr>
        <w:t>1743.</w:t>
      </w:r>
    </w:p>
    <w:p w14:paraId="5FE4EEFC" w14:textId="77777777" w:rsidR="00E76D3D" w:rsidRPr="00F65D24" w:rsidRDefault="00E76D3D" w:rsidP="00BF6B40">
      <w:pPr>
        <w:pStyle w:val="title1"/>
        <w:shd w:val="clear" w:color="auto" w:fill="FFFFFF"/>
        <w:spacing w:line="480" w:lineRule="auto"/>
        <w:rPr>
          <w:sz w:val="24"/>
          <w:szCs w:val="24"/>
        </w:rPr>
      </w:pPr>
    </w:p>
    <w:p w14:paraId="6CB110D6" w14:textId="53EA9F7C" w:rsidR="00E76D3D" w:rsidRPr="00F65D24" w:rsidRDefault="00E76D3D" w:rsidP="00BF6B40">
      <w:pPr>
        <w:pStyle w:val="title1"/>
        <w:shd w:val="clear" w:color="auto" w:fill="FFFFFF"/>
        <w:spacing w:line="480" w:lineRule="auto"/>
        <w:rPr>
          <w:sz w:val="24"/>
          <w:szCs w:val="24"/>
        </w:rPr>
      </w:pPr>
      <w:r w:rsidRPr="00F65D24">
        <w:rPr>
          <w:sz w:val="24"/>
          <w:szCs w:val="24"/>
        </w:rPr>
        <w:t>Ihmsen, H., Geisslinger, G.</w:t>
      </w:r>
      <w:r w:rsidR="00596891">
        <w:rPr>
          <w:sz w:val="24"/>
          <w:szCs w:val="24"/>
        </w:rPr>
        <w:t xml:space="preserve">, </w:t>
      </w:r>
      <w:r w:rsidRPr="00F65D24">
        <w:rPr>
          <w:sz w:val="24"/>
          <w:szCs w:val="24"/>
        </w:rPr>
        <w:t>Schuttler, J.</w:t>
      </w:r>
      <w:r w:rsidR="00596891">
        <w:rPr>
          <w:sz w:val="24"/>
          <w:szCs w:val="24"/>
        </w:rPr>
        <w:t xml:space="preserve">, </w:t>
      </w:r>
      <w:r w:rsidRPr="00F65D24">
        <w:rPr>
          <w:sz w:val="24"/>
          <w:szCs w:val="24"/>
        </w:rPr>
        <w:t>2001</w:t>
      </w:r>
      <w:r w:rsidR="00596891">
        <w:rPr>
          <w:sz w:val="24"/>
          <w:szCs w:val="24"/>
        </w:rPr>
        <w:t>.</w:t>
      </w:r>
      <w:r w:rsidRPr="00F65D24">
        <w:rPr>
          <w:sz w:val="24"/>
          <w:szCs w:val="24"/>
        </w:rPr>
        <w:t xml:space="preserve"> Stereoselective pharmacokinetics of ketamine: R(-)-ketamine inhibits the elimination of S(+)-ketamine. Clin</w:t>
      </w:r>
      <w:r w:rsidR="00596891">
        <w:rPr>
          <w:sz w:val="24"/>
          <w:szCs w:val="24"/>
        </w:rPr>
        <w:t>.</w:t>
      </w:r>
      <w:r w:rsidRPr="00F65D24">
        <w:rPr>
          <w:sz w:val="24"/>
          <w:szCs w:val="24"/>
        </w:rPr>
        <w:t xml:space="preserve"> Pharmacol</w:t>
      </w:r>
      <w:r w:rsidR="00596891">
        <w:rPr>
          <w:sz w:val="24"/>
          <w:szCs w:val="24"/>
        </w:rPr>
        <w:t>.</w:t>
      </w:r>
      <w:r w:rsidRPr="00F65D24">
        <w:rPr>
          <w:sz w:val="24"/>
          <w:szCs w:val="24"/>
        </w:rPr>
        <w:t xml:space="preserve"> Ther</w:t>
      </w:r>
      <w:r w:rsidR="00596891">
        <w:rPr>
          <w:sz w:val="24"/>
          <w:szCs w:val="24"/>
        </w:rPr>
        <w:t>.</w:t>
      </w:r>
      <w:r w:rsidRPr="00F65D24">
        <w:rPr>
          <w:sz w:val="24"/>
          <w:szCs w:val="24"/>
        </w:rPr>
        <w:t xml:space="preserve"> 70</w:t>
      </w:r>
      <w:r w:rsidR="00A662EA" w:rsidRPr="00F65D24">
        <w:rPr>
          <w:sz w:val="24"/>
          <w:szCs w:val="24"/>
        </w:rPr>
        <w:t>, 431</w:t>
      </w:r>
      <w:r w:rsidR="00A95994" w:rsidRPr="00F65D24">
        <w:rPr>
          <w:sz w:val="24"/>
          <w:szCs w:val="24"/>
        </w:rPr>
        <w:t>–</w:t>
      </w:r>
      <w:r w:rsidR="00A662EA" w:rsidRPr="00F65D24">
        <w:rPr>
          <w:sz w:val="24"/>
          <w:szCs w:val="24"/>
        </w:rPr>
        <w:t>438.</w:t>
      </w:r>
    </w:p>
    <w:p w14:paraId="5FDFD308" w14:textId="77777777" w:rsidR="00E76D3D" w:rsidRPr="00F65D24" w:rsidRDefault="00E76D3D" w:rsidP="00BF6B40">
      <w:pPr>
        <w:pStyle w:val="title1"/>
        <w:shd w:val="clear" w:color="auto" w:fill="FFFFFF"/>
        <w:spacing w:line="480" w:lineRule="auto"/>
        <w:rPr>
          <w:sz w:val="24"/>
          <w:szCs w:val="24"/>
        </w:rPr>
      </w:pPr>
    </w:p>
    <w:p w14:paraId="28AFCC53" w14:textId="1A9E29A7" w:rsidR="00E76D3D" w:rsidRPr="00F65D24" w:rsidRDefault="00E76D3D" w:rsidP="00BF6B40">
      <w:pPr>
        <w:pStyle w:val="title1"/>
        <w:shd w:val="clear" w:color="auto" w:fill="FFFFFF"/>
        <w:spacing w:line="480" w:lineRule="auto"/>
        <w:rPr>
          <w:sz w:val="24"/>
          <w:szCs w:val="24"/>
        </w:rPr>
      </w:pPr>
      <w:r w:rsidRPr="00F65D24">
        <w:rPr>
          <w:sz w:val="24"/>
          <w:szCs w:val="24"/>
        </w:rPr>
        <w:t>Jakob, S.M.</w:t>
      </w:r>
      <w:r w:rsidR="00596891">
        <w:rPr>
          <w:sz w:val="24"/>
          <w:szCs w:val="24"/>
        </w:rPr>
        <w:t xml:space="preserve">, </w:t>
      </w:r>
      <w:r w:rsidRPr="00F65D24">
        <w:rPr>
          <w:sz w:val="24"/>
          <w:szCs w:val="24"/>
        </w:rPr>
        <w:t>2010</w:t>
      </w:r>
      <w:r w:rsidR="00596891">
        <w:rPr>
          <w:sz w:val="24"/>
          <w:szCs w:val="24"/>
        </w:rPr>
        <w:t>.</w:t>
      </w:r>
      <w:r w:rsidRPr="00F65D24">
        <w:rPr>
          <w:sz w:val="24"/>
          <w:szCs w:val="24"/>
        </w:rPr>
        <w:t xml:space="preserve"> The effects of mechanical ventilation on hepato-splanchnic perfusion. </w:t>
      </w:r>
      <w:r w:rsidR="00052C68" w:rsidRPr="00F65D24">
        <w:rPr>
          <w:sz w:val="24"/>
          <w:szCs w:val="24"/>
        </w:rPr>
        <w:t>Curr</w:t>
      </w:r>
      <w:r w:rsidR="00596891">
        <w:rPr>
          <w:sz w:val="24"/>
          <w:szCs w:val="24"/>
        </w:rPr>
        <w:t>.</w:t>
      </w:r>
      <w:r w:rsidR="00052C68" w:rsidRPr="00F65D24">
        <w:rPr>
          <w:sz w:val="24"/>
          <w:szCs w:val="24"/>
        </w:rPr>
        <w:t xml:space="preserve"> Opin</w:t>
      </w:r>
      <w:r w:rsidR="00596891">
        <w:rPr>
          <w:sz w:val="24"/>
          <w:szCs w:val="24"/>
        </w:rPr>
        <w:t>.</w:t>
      </w:r>
      <w:r w:rsidR="00052C68" w:rsidRPr="00F65D24">
        <w:rPr>
          <w:sz w:val="24"/>
          <w:szCs w:val="24"/>
        </w:rPr>
        <w:t xml:space="preserve"> Crit</w:t>
      </w:r>
      <w:r w:rsidR="00596891">
        <w:rPr>
          <w:sz w:val="24"/>
          <w:szCs w:val="24"/>
        </w:rPr>
        <w:t>.</w:t>
      </w:r>
      <w:r w:rsidRPr="00F65D24">
        <w:rPr>
          <w:sz w:val="24"/>
          <w:szCs w:val="24"/>
        </w:rPr>
        <w:t xml:space="preserve"> Care 16, 165</w:t>
      </w:r>
      <w:r w:rsidR="00A95994" w:rsidRPr="00F65D24">
        <w:rPr>
          <w:sz w:val="24"/>
          <w:szCs w:val="24"/>
        </w:rPr>
        <w:t>–</w:t>
      </w:r>
      <w:r w:rsidRPr="00F65D24">
        <w:rPr>
          <w:sz w:val="24"/>
          <w:szCs w:val="24"/>
        </w:rPr>
        <w:t>168.</w:t>
      </w:r>
    </w:p>
    <w:p w14:paraId="7B3E4DA3" w14:textId="77777777" w:rsidR="00E76D3D" w:rsidRPr="00F65D24" w:rsidRDefault="00E76D3D" w:rsidP="00BF6B40">
      <w:pPr>
        <w:pStyle w:val="title1"/>
        <w:shd w:val="clear" w:color="auto" w:fill="FFFFFF"/>
        <w:spacing w:line="480" w:lineRule="auto"/>
        <w:rPr>
          <w:sz w:val="24"/>
          <w:szCs w:val="24"/>
        </w:rPr>
      </w:pPr>
    </w:p>
    <w:p w14:paraId="20355CFA" w14:textId="7A448C57" w:rsidR="00E76D3D" w:rsidRPr="00F65D24" w:rsidRDefault="00E76D3D" w:rsidP="00BF6B40">
      <w:pPr>
        <w:pStyle w:val="title1"/>
        <w:shd w:val="clear" w:color="auto" w:fill="FFFFFF"/>
        <w:spacing w:line="480" w:lineRule="auto"/>
        <w:rPr>
          <w:sz w:val="24"/>
          <w:szCs w:val="24"/>
        </w:rPr>
      </w:pPr>
      <w:r w:rsidRPr="00F65D24">
        <w:rPr>
          <w:sz w:val="24"/>
          <w:szCs w:val="24"/>
        </w:rPr>
        <w:t>Kharasch, E.D.</w:t>
      </w:r>
      <w:r w:rsidR="00596891">
        <w:rPr>
          <w:sz w:val="24"/>
          <w:szCs w:val="24"/>
        </w:rPr>
        <w:t>,</w:t>
      </w:r>
      <w:r w:rsidRPr="00F65D24">
        <w:rPr>
          <w:sz w:val="24"/>
          <w:szCs w:val="24"/>
        </w:rPr>
        <w:t xml:space="preserve"> Labroo, R.</w:t>
      </w:r>
      <w:r w:rsidR="00596891">
        <w:rPr>
          <w:sz w:val="24"/>
          <w:szCs w:val="24"/>
        </w:rPr>
        <w:t xml:space="preserve">, </w:t>
      </w:r>
      <w:r w:rsidRPr="00F65D24">
        <w:rPr>
          <w:sz w:val="24"/>
          <w:szCs w:val="24"/>
        </w:rPr>
        <w:t>1992</w:t>
      </w:r>
      <w:r w:rsidR="00596891">
        <w:rPr>
          <w:sz w:val="24"/>
          <w:szCs w:val="24"/>
        </w:rPr>
        <w:t>.</w:t>
      </w:r>
      <w:r w:rsidRPr="00F65D24">
        <w:rPr>
          <w:sz w:val="24"/>
          <w:szCs w:val="24"/>
        </w:rPr>
        <w:t xml:space="preserve"> Metabolism of ketamine stereoisomers by human liver microsomes. Anesthesiology 77, 1201</w:t>
      </w:r>
      <w:r w:rsidR="00A95994" w:rsidRPr="00F65D24">
        <w:rPr>
          <w:sz w:val="24"/>
          <w:szCs w:val="24"/>
        </w:rPr>
        <w:t>–</w:t>
      </w:r>
      <w:r w:rsidRPr="00F65D24">
        <w:rPr>
          <w:sz w:val="24"/>
          <w:szCs w:val="24"/>
        </w:rPr>
        <w:t>1207.</w:t>
      </w:r>
    </w:p>
    <w:p w14:paraId="3A3CB8EA" w14:textId="77777777" w:rsidR="00E76D3D" w:rsidRPr="00F65D24" w:rsidRDefault="00E76D3D" w:rsidP="00BF6B40">
      <w:pPr>
        <w:pStyle w:val="title1"/>
        <w:shd w:val="clear" w:color="auto" w:fill="FFFFFF"/>
        <w:spacing w:line="480" w:lineRule="auto"/>
        <w:rPr>
          <w:sz w:val="24"/>
          <w:szCs w:val="24"/>
        </w:rPr>
      </w:pPr>
    </w:p>
    <w:p w14:paraId="468EB788" w14:textId="2A7005CE" w:rsidR="00E76D3D" w:rsidRPr="00F65D24" w:rsidRDefault="00596891" w:rsidP="00BF6B40">
      <w:pPr>
        <w:pStyle w:val="title1"/>
        <w:shd w:val="clear" w:color="auto" w:fill="FFFFFF"/>
        <w:spacing w:line="480" w:lineRule="auto"/>
        <w:rPr>
          <w:sz w:val="24"/>
          <w:szCs w:val="24"/>
        </w:rPr>
      </w:pPr>
      <w:r>
        <w:rPr>
          <w:sz w:val="24"/>
          <w:szCs w:val="24"/>
        </w:rPr>
        <w:lastRenderedPageBreak/>
        <w:t>Kaka, J.</w:t>
      </w:r>
      <w:r w:rsidR="00E76D3D" w:rsidRPr="00F65D24">
        <w:rPr>
          <w:sz w:val="24"/>
          <w:szCs w:val="24"/>
        </w:rPr>
        <w:t>S.</w:t>
      </w:r>
      <w:r>
        <w:rPr>
          <w:sz w:val="24"/>
          <w:szCs w:val="24"/>
        </w:rPr>
        <w:t>, Hayton, W.</w:t>
      </w:r>
      <w:r w:rsidR="00E76D3D" w:rsidRPr="00F65D24">
        <w:rPr>
          <w:sz w:val="24"/>
          <w:szCs w:val="24"/>
        </w:rPr>
        <w:t>L.</w:t>
      </w:r>
      <w:r>
        <w:rPr>
          <w:sz w:val="24"/>
          <w:szCs w:val="24"/>
        </w:rPr>
        <w:t>,</w:t>
      </w:r>
      <w:r w:rsidR="00E76D3D" w:rsidRPr="00F65D24">
        <w:rPr>
          <w:sz w:val="24"/>
          <w:szCs w:val="24"/>
        </w:rPr>
        <w:t xml:space="preserve"> 1980</w:t>
      </w:r>
      <w:r>
        <w:rPr>
          <w:sz w:val="24"/>
          <w:szCs w:val="24"/>
        </w:rPr>
        <w:t>.</w:t>
      </w:r>
      <w:r w:rsidR="00E76D3D" w:rsidRPr="00F65D24">
        <w:rPr>
          <w:sz w:val="24"/>
          <w:szCs w:val="24"/>
        </w:rPr>
        <w:t xml:space="preserve"> Pharma</w:t>
      </w:r>
      <w:r w:rsidR="008F0862" w:rsidRPr="00F65D24">
        <w:rPr>
          <w:sz w:val="24"/>
          <w:szCs w:val="24"/>
        </w:rPr>
        <w:t>c</w:t>
      </w:r>
      <w:r w:rsidR="00E76D3D" w:rsidRPr="00F65D24">
        <w:rPr>
          <w:sz w:val="24"/>
          <w:szCs w:val="24"/>
        </w:rPr>
        <w:t xml:space="preserve">okinetics of ketamine and two metabolites in the dog. </w:t>
      </w:r>
      <w:r w:rsidR="006D0BC7" w:rsidRPr="00F65D24">
        <w:rPr>
          <w:sz w:val="24"/>
          <w:szCs w:val="24"/>
        </w:rPr>
        <w:t>J</w:t>
      </w:r>
      <w:r w:rsidR="00962208">
        <w:rPr>
          <w:sz w:val="24"/>
          <w:szCs w:val="24"/>
        </w:rPr>
        <w:t>.</w:t>
      </w:r>
      <w:r w:rsidR="006D0BC7" w:rsidRPr="00F65D24">
        <w:rPr>
          <w:sz w:val="24"/>
          <w:szCs w:val="24"/>
        </w:rPr>
        <w:t xml:space="preserve"> Pharmacokinet</w:t>
      </w:r>
      <w:r w:rsidR="00962208">
        <w:rPr>
          <w:sz w:val="24"/>
          <w:szCs w:val="24"/>
        </w:rPr>
        <w:t>.</w:t>
      </w:r>
      <w:r w:rsidR="006D0BC7" w:rsidRPr="00F65D24">
        <w:rPr>
          <w:sz w:val="24"/>
          <w:szCs w:val="24"/>
        </w:rPr>
        <w:t xml:space="preserve"> Biop</w:t>
      </w:r>
      <w:r w:rsidR="00962208">
        <w:rPr>
          <w:sz w:val="24"/>
          <w:szCs w:val="24"/>
        </w:rPr>
        <w:t>.</w:t>
      </w:r>
      <w:r w:rsidR="006D0BC7" w:rsidRPr="00F65D24">
        <w:rPr>
          <w:sz w:val="24"/>
          <w:szCs w:val="24"/>
        </w:rPr>
        <w:t xml:space="preserve"> </w:t>
      </w:r>
      <w:r w:rsidR="00E76D3D" w:rsidRPr="00F65D24">
        <w:rPr>
          <w:sz w:val="24"/>
          <w:szCs w:val="24"/>
        </w:rPr>
        <w:t>8, 193</w:t>
      </w:r>
      <w:r w:rsidR="00A95994" w:rsidRPr="00F65D24">
        <w:rPr>
          <w:sz w:val="24"/>
          <w:szCs w:val="24"/>
        </w:rPr>
        <w:t>–</w:t>
      </w:r>
      <w:r w:rsidR="00E76D3D" w:rsidRPr="00F65D24">
        <w:rPr>
          <w:sz w:val="24"/>
          <w:szCs w:val="24"/>
        </w:rPr>
        <w:t>202.</w:t>
      </w:r>
    </w:p>
    <w:p w14:paraId="6C23C408" w14:textId="77777777" w:rsidR="00E76D3D" w:rsidRPr="00F65D24" w:rsidRDefault="00E76D3D" w:rsidP="00BF6B40">
      <w:pPr>
        <w:pStyle w:val="title1"/>
        <w:shd w:val="clear" w:color="auto" w:fill="FFFFFF"/>
        <w:spacing w:line="480" w:lineRule="auto"/>
        <w:rPr>
          <w:sz w:val="24"/>
          <w:szCs w:val="24"/>
        </w:rPr>
      </w:pPr>
    </w:p>
    <w:p w14:paraId="332448C4" w14:textId="7CB4D306" w:rsidR="00E76D3D" w:rsidRPr="00F65D24" w:rsidRDefault="00E76D3D" w:rsidP="00BF6B40">
      <w:pPr>
        <w:pStyle w:val="title1"/>
        <w:shd w:val="clear" w:color="auto" w:fill="FFFFFF"/>
        <w:spacing w:line="480" w:lineRule="auto"/>
        <w:rPr>
          <w:sz w:val="24"/>
          <w:szCs w:val="24"/>
        </w:rPr>
      </w:pPr>
      <w:r w:rsidRPr="00F65D24">
        <w:rPr>
          <w:sz w:val="24"/>
          <w:szCs w:val="24"/>
        </w:rPr>
        <w:t>Larenza, M.P., Landoni, M.F., Levionnois, O.L., Knobloch, M., Kronen, P.W., Theurillat, R., Schatzmann, U.</w:t>
      </w:r>
      <w:r w:rsidR="00962208">
        <w:rPr>
          <w:sz w:val="24"/>
          <w:szCs w:val="24"/>
        </w:rPr>
        <w:t>,</w:t>
      </w:r>
      <w:r w:rsidRPr="00F65D24">
        <w:rPr>
          <w:sz w:val="24"/>
          <w:szCs w:val="24"/>
        </w:rPr>
        <w:t xml:space="preserve"> Thormann, W.</w:t>
      </w:r>
      <w:r w:rsidR="00962208">
        <w:rPr>
          <w:sz w:val="24"/>
          <w:szCs w:val="24"/>
        </w:rPr>
        <w:t xml:space="preserve">, </w:t>
      </w:r>
      <w:r w:rsidRPr="00F65D24">
        <w:rPr>
          <w:sz w:val="24"/>
          <w:szCs w:val="24"/>
        </w:rPr>
        <w:t>2007</w:t>
      </w:r>
      <w:r w:rsidR="00962208">
        <w:rPr>
          <w:sz w:val="24"/>
          <w:szCs w:val="24"/>
        </w:rPr>
        <w:t>.</w:t>
      </w:r>
      <w:r w:rsidRPr="00F65D24">
        <w:rPr>
          <w:sz w:val="24"/>
          <w:szCs w:val="24"/>
        </w:rPr>
        <w:t xml:space="preserve"> Stereoselective pharmacokinetics of ketamine and norketamine after racemic ketamine or S-ketamine administration during isoflurane anaesthesia in Shetland ponies. Brit</w:t>
      </w:r>
      <w:r w:rsidR="00962208">
        <w:rPr>
          <w:sz w:val="24"/>
          <w:szCs w:val="24"/>
        </w:rPr>
        <w:t xml:space="preserve">. </w:t>
      </w:r>
      <w:r w:rsidRPr="00F65D24">
        <w:rPr>
          <w:sz w:val="24"/>
          <w:szCs w:val="24"/>
        </w:rPr>
        <w:t>J</w:t>
      </w:r>
      <w:r w:rsidR="00962208">
        <w:rPr>
          <w:sz w:val="24"/>
          <w:szCs w:val="24"/>
        </w:rPr>
        <w:t>.</w:t>
      </w:r>
      <w:r w:rsidRPr="00F65D24">
        <w:rPr>
          <w:sz w:val="24"/>
          <w:szCs w:val="24"/>
        </w:rPr>
        <w:t xml:space="preserve"> Anaesth</w:t>
      </w:r>
      <w:r w:rsidR="00962208">
        <w:rPr>
          <w:sz w:val="24"/>
          <w:szCs w:val="24"/>
        </w:rPr>
        <w:t>.</w:t>
      </w:r>
      <w:r w:rsidRPr="00F65D24">
        <w:rPr>
          <w:sz w:val="24"/>
          <w:szCs w:val="24"/>
        </w:rPr>
        <w:t xml:space="preserve"> 98, 204</w:t>
      </w:r>
      <w:r w:rsidR="00A95994" w:rsidRPr="00F65D24">
        <w:rPr>
          <w:sz w:val="24"/>
          <w:szCs w:val="24"/>
        </w:rPr>
        <w:t>–</w:t>
      </w:r>
      <w:r w:rsidRPr="00F65D24">
        <w:rPr>
          <w:sz w:val="24"/>
          <w:szCs w:val="24"/>
        </w:rPr>
        <w:t>212.</w:t>
      </w:r>
    </w:p>
    <w:p w14:paraId="12084360" w14:textId="77777777" w:rsidR="00E76D3D" w:rsidRPr="00F65D24" w:rsidRDefault="00E76D3D" w:rsidP="00BF6B40">
      <w:pPr>
        <w:pStyle w:val="title1"/>
        <w:shd w:val="clear" w:color="auto" w:fill="FFFFFF"/>
        <w:spacing w:line="480" w:lineRule="auto"/>
        <w:rPr>
          <w:sz w:val="24"/>
          <w:szCs w:val="24"/>
        </w:rPr>
      </w:pPr>
    </w:p>
    <w:p w14:paraId="620D67E1" w14:textId="2931936D" w:rsidR="00E76D3D" w:rsidRPr="00F65D24" w:rsidRDefault="00E76D3D" w:rsidP="00BF6B40">
      <w:pPr>
        <w:pStyle w:val="title1"/>
        <w:shd w:val="clear" w:color="auto" w:fill="FFFFFF"/>
        <w:spacing w:line="480" w:lineRule="auto"/>
        <w:rPr>
          <w:sz w:val="24"/>
          <w:szCs w:val="24"/>
        </w:rPr>
      </w:pPr>
      <w:r w:rsidRPr="00F65D24">
        <w:rPr>
          <w:sz w:val="24"/>
          <w:szCs w:val="24"/>
        </w:rPr>
        <w:t>Larenza, M.P., Althaus, H., Conrot,</w:t>
      </w:r>
      <w:r w:rsidR="006F0F85" w:rsidRPr="00F65D24">
        <w:rPr>
          <w:sz w:val="24"/>
          <w:szCs w:val="24"/>
        </w:rPr>
        <w:t xml:space="preserve"> A., Balmer, C., Schatzmann, U.</w:t>
      </w:r>
      <w:r w:rsidR="00962208">
        <w:rPr>
          <w:sz w:val="24"/>
          <w:szCs w:val="24"/>
        </w:rPr>
        <w:t>,</w:t>
      </w:r>
      <w:r w:rsidR="006F0F85" w:rsidRPr="00F65D24">
        <w:rPr>
          <w:sz w:val="24"/>
          <w:szCs w:val="24"/>
        </w:rPr>
        <w:t xml:space="preserve"> </w:t>
      </w:r>
      <w:r w:rsidRPr="00F65D24">
        <w:rPr>
          <w:sz w:val="24"/>
          <w:szCs w:val="24"/>
        </w:rPr>
        <w:t>Bettschart-Wolfensberger, R.</w:t>
      </w:r>
      <w:r w:rsidR="00962208">
        <w:rPr>
          <w:sz w:val="24"/>
          <w:szCs w:val="24"/>
        </w:rPr>
        <w:t>,</w:t>
      </w:r>
      <w:r w:rsidR="006F0F85" w:rsidRPr="00F65D24">
        <w:rPr>
          <w:sz w:val="24"/>
          <w:szCs w:val="24"/>
        </w:rPr>
        <w:t xml:space="preserve"> </w:t>
      </w:r>
      <w:r w:rsidRPr="00F65D24">
        <w:rPr>
          <w:sz w:val="24"/>
          <w:szCs w:val="24"/>
        </w:rPr>
        <w:t>2008a</w:t>
      </w:r>
      <w:r w:rsidR="00962208">
        <w:rPr>
          <w:sz w:val="24"/>
          <w:szCs w:val="24"/>
        </w:rPr>
        <w:t>.</w:t>
      </w:r>
      <w:r w:rsidRPr="00F65D24">
        <w:rPr>
          <w:sz w:val="24"/>
          <w:szCs w:val="24"/>
        </w:rPr>
        <w:t xml:space="preserve"> Anaesthesia recovery quality after racemic ketamine or S-ketamine administration to male cats undergoing neutering surgery. Schweiz</w:t>
      </w:r>
      <w:r w:rsidR="00962208">
        <w:rPr>
          <w:sz w:val="24"/>
          <w:szCs w:val="24"/>
        </w:rPr>
        <w:t xml:space="preserve">. </w:t>
      </w:r>
      <w:r w:rsidRPr="00F65D24">
        <w:rPr>
          <w:sz w:val="24"/>
          <w:szCs w:val="24"/>
        </w:rPr>
        <w:t>Arch</w:t>
      </w:r>
      <w:r w:rsidR="00962208">
        <w:rPr>
          <w:sz w:val="24"/>
          <w:szCs w:val="24"/>
        </w:rPr>
        <w:t xml:space="preserve">. </w:t>
      </w:r>
      <w:r w:rsidRPr="00F65D24">
        <w:rPr>
          <w:sz w:val="24"/>
          <w:szCs w:val="24"/>
        </w:rPr>
        <w:t>Tierh</w:t>
      </w:r>
      <w:r w:rsidR="00962208">
        <w:rPr>
          <w:sz w:val="24"/>
          <w:szCs w:val="24"/>
        </w:rPr>
        <w:t>.</w:t>
      </w:r>
      <w:r w:rsidRPr="00F65D24">
        <w:rPr>
          <w:sz w:val="24"/>
          <w:szCs w:val="24"/>
        </w:rPr>
        <w:t xml:space="preserve"> 150, 599</w:t>
      </w:r>
      <w:r w:rsidR="00A95994" w:rsidRPr="00F65D24">
        <w:rPr>
          <w:sz w:val="24"/>
          <w:szCs w:val="24"/>
        </w:rPr>
        <w:t>–</w:t>
      </w:r>
      <w:r w:rsidRPr="00F65D24">
        <w:rPr>
          <w:sz w:val="24"/>
          <w:szCs w:val="24"/>
        </w:rPr>
        <w:t xml:space="preserve">607. </w:t>
      </w:r>
    </w:p>
    <w:p w14:paraId="375710CF" w14:textId="77777777" w:rsidR="00E76D3D" w:rsidRPr="00F65D24" w:rsidRDefault="00E76D3D" w:rsidP="00BF6B40">
      <w:pPr>
        <w:pStyle w:val="title1"/>
        <w:shd w:val="clear" w:color="auto" w:fill="FFFFFF"/>
        <w:spacing w:line="480" w:lineRule="auto"/>
        <w:rPr>
          <w:sz w:val="24"/>
          <w:szCs w:val="24"/>
        </w:rPr>
      </w:pPr>
    </w:p>
    <w:p w14:paraId="222CA886" w14:textId="7006139D" w:rsidR="00E76D3D" w:rsidRPr="00962208" w:rsidRDefault="00E76D3D" w:rsidP="00BF6B40">
      <w:pPr>
        <w:pStyle w:val="title1"/>
        <w:shd w:val="clear" w:color="auto" w:fill="FFFFFF"/>
        <w:spacing w:line="480" w:lineRule="auto"/>
        <w:rPr>
          <w:sz w:val="24"/>
          <w:szCs w:val="24"/>
        </w:rPr>
      </w:pPr>
      <w:r w:rsidRPr="00F65D24">
        <w:rPr>
          <w:sz w:val="24"/>
          <w:szCs w:val="24"/>
        </w:rPr>
        <w:t>Larenza, M.P., Knobloch, M., Landoni, M.F., Levionnois, O.L., Kronen, P.W., Theurillat, R., Schatzmann, U.</w:t>
      </w:r>
      <w:r w:rsidR="00962208">
        <w:rPr>
          <w:sz w:val="24"/>
          <w:szCs w:val="24"/>
        </w:rPr>
        <w:t>,</w:t>
      </w:r>
      <w:r w:rsidR="00972135" w:rsidRPr="00F65D24">
        <w:rPr>
          <w:sz w:val="24"/>
          <w:szCs w:val="24"/>
        </w:rPr>
        <w:t xml:space="preserve"> </w:t>
      </w:r>
      <w:r w:rsidRPr="00F65D24">
        <w:rPr>
          <w:sz w:val="24"/>
          <w:szCs w:val="24"/>
        </w:rPr>
        <w:t>Thormann, W.</w:t>
      </w:r>
      <w:r w:rsidR="00962208">
        <w:rPr>
          <w:sz w:val="24"/>
          <w:szCs w:val="24"/>
        </w:rPr>
        <w:t xml:space="preserve">, </w:t>
      </w:r>
      <w:r w:rsidRPr="00F65D24">
        <w:rPr>
          <w:sz w:val="24"/>
          <w:szCs w:val="24"/>
        </w:rPr>
        <w:t>2008b</w:t>
      </w:r>
      <w:r w:rsidR="00962208">
        <w:rPr>
          <w:sz w:val="24"/>
          <w:szCs w:val="24"/>
        </w:rPr>
        <w:t>.</w:t>
      </w:r>
      <w:r w:rsidRPr="00F65D24">
        <w:rPr>
          <w:sz w:val="24"/>
          <w:szCs w:val="24"/>
        </w:rPr>
        <w:t xml:space="preserve"> Stereoselective pharmacokinetics of ketamine and norketamine after racemic ketamine or S-ketamine administration in Shetland ponies sedated with x</w:t>
      </w:r>
      <w:r w:rsidR="008F0862" w:rsidRPr="00F65D24">
        <w:rPr>
          <w:sz w:val="24"/>
          <w:szCs w:val="24"/>
        </w:rPr>
        <w:t>y</w:t>
      </w:r>
      <w:r w:rsidRPr="00F65D24">
        <w:rPr>
          <w:sz w:val="24"/>
          <w:szCs w:val="24"/>
        </w:rPr>
        <w:t xml:space="preserve">lazine. </w:t>
      </w:r>
      <w:r w:rsidRPr="00962208">
        <w:rPr>
          <w:sz w:val="24"/>
          <w:szCs w:val="24"/>
        </w:rPr>
        <w:t>Vet</w:t>
      </w:r>
      <w:r w:rsidR="00962208" w:rsidRPr="00962208">
        <w:rPr>
          <w:sz w:val="24"/>
          <w:szCs w:val="24"/>
        </w:rPr>
        <w:t>. J.</w:t>
      </w:r>
      <w:r w:rsidRPr="00962208">
        <w:rPr>
          <w:sz w:val="24"/>
          <w:szCs w:val="24"/>
        </w:rPr>
        <w:t xml:space="preserve"> 177, 432</w:t>
      </w:r>
      <w:r w:rsidR="00A95994" w:rsidRPr="00962208">
        <w:rPr>
          <w:sz w:val="24"/>
          <w:szCs w:val="24"/>
        </w:rPr>
        <w:t>–</w:t>
      </w:r>
      <w:r w:rsidRPr="00962208">
        <w:rPr>
          <w:sz w:val="24"/>
          <w:szCs w:val="24"/>
        </w:rPr>
        <w:t>435.</w:t>
      </w:r>
    </w:p>
    <w:p w14:paraId="2649CF8F" w14:textId="77777777" w:rsidR="00E76D3D" w:rsidRPr="00962208" w:rsidRDefault="00E76D3D" w:rsidP="00BF6B40">
      <w:pPr>
        <w:pStyle w:val="title1"/>
        <w:shd w:val="clear" w:color="auto" w:fill="FFFFFF"/>
        <w:spacing w:line="480" w:lineRule="auto"/>
        <w:rPr>
          <w:sz w:val="24"/>
          <w:szCs w:val="24"/>
        </w:rPr>
      </w:pPr>
    </w:p>
    <w:p w14:paraId="78AC613C" w14:textId="6E2E69B2" w:rsidR="00E76D3D" w:rsidRPr="00F65D24" w:rsidRDefault="00E76D3D" w:rsidP="00BF6B40">
      <w:pPr>
        <w:pStyle w:val="title1"/>
        <w:shd w:val="clear" w:color="auto" w:fill="FFFFFF"/>
        <w:spacing w:line="480" w:lineRule="auto"/>
        <w:rPr>
          <w:sz w:val="24"/>
          <w:szCs w:val="24"/>
        </w:rPr>
      </w:pPr>
      <w:r w:rsidRPr="00985234">
        <w:rPr>
          <w:sz w:val="24"/>
          <w:szCs w:val="24"/>
        </w:rPr>
        <w:t>Larenza, M.P., Peterbauer, C., Landoni, M.F., Levionnois, O.L., Schatzmann, U., Spadavecchia, C.</w:t>
      </w:r>
      <w:r w:rsidR="00962208" w:rsidRPr="00985234">
        <w:rPr>
          <w:sz w:val="24"/>
          <w:szCs w:val="24"/>
        </w:rPr>
        <w:t>,</w:t>
      </w:r>
      <w:r w:rsidRPr="00985234">
        <w:rPr>
          <w:sz w:val="24"/>
          <w:szCs w:val="24"/>
        </w:rPr>
        <w:t xml:space="preserve"> Thormann, W.</w:t>
      </w:r>
      <w:r w:rsidR="00962208" w:rsidRPr="00985234">
        <w:rPr>
          <w:sz w:val="24"/>
          <w:szCs w:val="24"/>
        </w:rPr>
        <w:t>,</w:t>
      </w:r>
      <w:r w:rsidRPr="00985234">
        <w:rPr>
          <w:sz w:val="24"/>
          <w:szCs w:val="24"/>
        </w:rPr>
        <w:t xml:space="preserve"> 2009a</w:t>
      </w:r>
      <w:r w:rsidR="00962208" w:rsidRPr="00985234">
        <w:rPr>
          <w:sz w:val="24"/>
          <w:szCs w:val="24"/>
        </w:rPr>
        <w:t>.</w:t>
      </w:r>
      <w:r w:rsidRPr="00985234">
        <w:rPr>
          <w:sz w:val="24"/>
          <w:szCs w:val="24"/>
        </w:rPr>
        <w:t xml:space="preserve"> </w:t>
      </w:r>
      <w:r w:rsidRPr="00962208">
        <w:rPr>
          <w:sz w:val="24"/>
          <w:szCs w:val="24"/>
        </w:rPr>
        <w:t>Stereos</w:t>
      </w:r>
      <w:r w:rsidRPr="00F65D24">
        <w:rPr>
          <w:sz w:val="24"/>
          <w:szCs w:val="24"/>
        </w:rPr>
        <w:t>elective pharmacokinetics of ketamine and norketamine after constant rate infusion of a subanesthetic dose of racemic ketamine or S-ketamine in Shetland ponies. Am</w:t>
      </w:r>
      <w:r w:rsidR="00962208">
        <w:rPr>
          <w:sz w:val="24"/>
          <w:szCs w:val="24"/>
        </w:rPr>
        <w:t>. J.</w:t>
      </w:r>
      <w:r w:rsidRPr="00F65D24">
        <w:rPr>
          <w:sz w:val="24"/>
          <w:szCs w:val="24"/>
        </w:rPr>
        <w:t xml:space="preserve"> Vet</w:t>
      </w:r>
      <w:r w:rsidR="00962208">
        <w:rPr>
          <w:sz w:val="24"/>
          <w:szCs w:val="24"/>
        </w:rPr>
        <w:t>.</w:t>
      </w:r>
      <w:r w:rsidRPr="00F65D24">
        <w:rPr>
          <w:sz w:val="24"/>
          <w:szCs w:val="24"/>
        </w:rPr>
        <w:t xml:space="preserve"> Res</w:t>
      </w:r>
      <w:r w:rsidR="00962208">
        <w:rPr>
          <w:sz w:val="24"/>
          <w:szCs w:val="24"/>
        </w:rPr>
        <w:t>.</w:t>
      </w:r>
      <w:r w:rsidRPr="00F65D24">
        <w:rPr>
          <w:sz w:val="24"/>
          <w:szCs w:val="24"/>
        </w:rPr>
        <w:t xml:space="preserve"> 70, 831</w:t>
      </w:r>
      <w:r w:rsidR="00A95994" w:rsidRPr="00F65D24">
        <w:rPr>
          <w:sz w:val="24"/>
          <w:szCs w:val="24"/>
        </w:rPr>
        <w:t>–</w:t>
      </w:r>
      <w:r w:rsidRPr="00F65D24">
        <w:rPr>
          <w:sz w:val="24"/>
          <w:szCs w:val="24"/>
        </w:rPr>
        <w:t xml:space="preserve">839.  </w:t>
      </w:r>
    </w:p>
    <w:p w14:paraId="081B3529" w14:textId="77777777" w:rsidR="00E76D3D" w:rsidRPr="00F65D24" w:rsidRDefault="00E76D3D" w:rsidP="00BF6B40">
      <w:pPr>
        <w:pStyle w:val="title1"/>
        <w:shd w:val="clear" w:color="auto" w:fill="FFFFFF"/>
        <w:spacing w:line="480" w:lineRule="auto"/>
        <w:rPr>
          <w:sz w:val="24"/>
          <w:szCs w:val="24"/>
        </w:rPr>
      </w:pPr>
    </w:p>
    <w:p w14:paraId="16D30AD6" w14:textId="60044D14" w:rsidR="00E76D3D" w:rsidRPr="00F65D24" w:rsidRDefault="00E76D3D" w:rsidP="00BF6B40">
      <w:pPr>
        <w:pStyle w:val="title1"/>
        <w:shd w:val="clear" w:color="auto" w:fill="FFFFFF"/>
        <w:spacing w:line="480" w:lineRule="auto"/>
        <w:rPr>
          <w:sz w:val="24"/>
          <w:szCs w:val="24"/>
        </w:rPr>
      </w:pPr>
      <w:r w:rsidRPr="00F65D24">
        <w:rPr>
          <w:sz w:val="24"/>
          <w:szCs w:val="24"/>
        </w:rPr>
        <w:t>Larenza, M.P., Ringer, S.K., Kutter, A.P., Conrot, A., Theurillat, R., Kummer, M., Thormann, W.</w:t>
      </w:r>
      <w:r w:rsidR="00962208">
        <w:rPr>
          <w:sz w:val="24"/>
          <w:szCs w:val="24"/>
        </w:rPr>
        <w:t>,</w:t>
      </w:r>
      <w:r w:rsidRPr="00F65D24">
        <w:rPr>
          <w:sz w:val="24"/>
          <w:szCs w:val="24"/>
        </w:rPr>
        <w:t xml:space="preserve"> Bettschart-Wolfensberger, R.</w:t>
      </w:r>
      <w:r w:rsidR="00962208">
        <w:rPr>
          <w:sz w:val="24"/>
          <w:szCs w:val="24"/>
        </w:rPr>
        <w:t xml:space="preserve">, </w:t>
      </w:r>
      <w:r w:rsidRPr="00F65D24">
        <w:rPr>
          <w:sz w:val="24"/>
          <w:szCs w:val="24"/>
        </w:rPr>
        <w:t>2009b</w:t>
      </w:r>
      <w:r w:rsidR="00962208">
        <w:rPr>
          <w:sz w:val="24"/>
          <w:szCs w:val="24"/>
        </w:rPr>
        <w:t>.</w:t>
      </w:r>
      <w:r w:rsidRPr="00F65D24">
        <w:rPr>
          <w:sz w:val="24"/>
          <w:szCs w:val="24"/>
        </w:rPr>
        <w:t xml:space="preserve"> Evaluation of anesthesia recovery quality after low-</w:t>
      </w:r>
      <w:r w:rsidRPr="00F65D24">
        <w:rPr>
          <w:sz w:val="24"/>
          <w:szCs w:val="24"/>
        </w:rPr>
        <w:lastRenderedPageBreak/>
        <w:t>dose racemic or S-ketamine infusions during anesthesia with isoflurane in horses. Am</w:t>
      </w:r>
      <w:r w:rsidR="00962208">
        <w:rPr>
          <w:sz w:val="24"/>
          <w:szCs w:val="24"/>
        </w:rPr>
        <w:t>.</w:t>
      </w:r>
      <w:r w:rsidRPr="00F65D24">
        <w:rPr>
          <w:sz w:val="24"/>
          <w:szCs w:val="24"/>
        </w:rPr>
        <w:t xml:space="preserve"> J</w:t>
      </w:r>
      <w:r w:rsidR="00962208">
        <w:rPr>
          <w:sz w:val="24"/>
          <w:szCs w:val="24"/>
        </w:rPr>
        <w:t>.</w:t>
      </w:r>
      <w:r w:rsidRPr="00F65D24">
        <w:rPr>
          <w:sz w:val="24"/>
          <w:szCs w:val="24"/>
        </w:rPr>
        <w:t xml:space="preserve"> Vet</w:t>
      </w:r>
      <w:r w:rsidR="00962208">
        <w:rPr>
          <w:sz w:val="24"/>
          <w:szCs w:val="24"/>
        </w:rPr>
        <w:t>.</w:t>
      </w:r>
      <w:r w:rsidRPr="00F65D24">
        <w:rPr>
          <w:sz w:val="24"/>
          <w:szCs w:val="24"/>
        </w:rPr>
        <w:t xml:space="preserve"> Res</w:t>
      </w:r>
      <w:r w:rsidR="00962208">
        <w:rPr>
          <w:sz w:val="24"/>
          <w:szCs w:val="24"/>
        </w:rPr>
        <w:t>.</w:t>
      </w:r>
      <w:r w:rsidRPr="00F65D24">
        <w:rPr>
          <w:sz w:val="24"/>
          <w:szCs w:val="24"/>
        </w:rPr>
        <w:t xml:space="preserve"> 70, 710</w:t>
      </w:r>
      <w:r w:rsidR="00A95994" w:rsidRPr="00F65D24">
        <w:rPr>
          <w:sz w:val="24"/>
          <w:szCs w:val="24"/>
        </w:rPr>
        <w:t>–</w:t>
      </w:r>
      <w:r w:rsidRPr="00F65D24">
        <w:rPr>
          <w:sz w:val="24"/>
          <w:szCs w:val="24"/>
        </w:rPr>
        <w:t>718.</w:t>
      </w:r>
    </w:p>
    <w:p w14:paraId="39537C46" w14:textId="77777777" w:rsidR="00E76D3D" w:rsidRPr="00F65D24" w:rsidRDefault="00E76D3D" w:rsidP="00BF6B40">
      <w:pPr>
        <w:pStyle w:val="title1"/>
        <w:shd w:val="clear" w:color="auto" w:fill="FFFFFF"/>
        <w:spacing w:line="480" w:lineRule="auto"/>
        <w:rPr>
          <w:sz w:val="24"/>
          <w:szCs w:val="24"/>
        </w:rPr>
      </w:pPr>
    </w:p>
    <w:p w14:paraId="52D35CAD" w14:textId="55EEB98A" w:rsidR="00E76D3D" w:rsidRPr="00F65D24" w:rsidRDefault="00E76D3D" w:rsidP="00BF6B40">
      <w:pPr>
        <w:pStyle w:val="title1"/>
        <w:shd w:val="clear" w:color="auto" w:fill="FFFFFF"/>
        <w:spacing w:line="480" w:lineRule="auto"/>
        <w:rPr>
          <w:sz w:val="24"/>
          <w:szCs w:val="24"/>
        </w:rPr>
      </w:pPr>
      <w:r w:rsidRPr="00F65D24">
        <w:rPr>
          <w:sz w:val="24"/>
          <w:szCs w:val="24"/>
        </w:rPr>
        <w:t>Pinheiro, J., Bates, D., DebRoy, S., Sarkar, D.</w:t>
      </w:r>
      <w:r w:rsidR="00962208">
        <w:rPr>
          <w:sz w:val="24"/>
          <w:szCs w:val="24"/>
        </w:rPr>
        <w:t>,</w:t>
      </w:r>
      <w:r w:rsidRPr="00F65D24">
        <w:rPr>
          <w:sz w:val="24"/>
          <w:szCs w:val="24"/>
        </w:rPr>
        <w:t xml:space="preserve"> R Development Core Team</w:t>
      </w:r>
      <w:r w:rsidR="00962208">
        <w:rPr>
          <w:sz w:val="24"/>
          <w:szCs w:val="24"/>
        </w:rPr>
        <w:t xml:space="preserve">, </w:t>
      </w:r>
      <w:r w:rsidRPr="00F65D24">
        <w:rPr>
          <w:sz w:val="24"/>
          <w:szCs w:val="24"/>
        </w:rPr>
        <w:t>2011</w:t>
      </w:r>
      <w:r w:rsidR="00962208">
        <w:rPr>
          <w:sz w:val="24"/>
          <w:szCs w:val="24"/>
        </w:rPr>
        <w:t>.</w:t>
      </w:r>
      <w:r w:rsidRPr="00F65D24">
        <w:rPr>
          <w:sz w:val="24"/>
          <w:szCs w:val="24"/>
        </w:rPr>
        <w:t xml:space="preserve"> </w:t>
      </w:r>
      <w:r w:rsidR="00962208">
        <w:rPr>
          <w:sz w:val="24"/>
          <w:szCs w:val="24"/>
        </w:rPr>
        <w:t>NLME</w:t>
      </w:r>
      <w:r w:rsidRPr="00F65D24">
        <w:rPr>
          <w:sz w:val="24"/>
          <w:szCs w:val="24"/>
        </w:rPr>
        <w:t>: Linear and Nonlinear Mixed Effects Models. R package version 3.1-102</w:t>
      </w:r>
      <w:r w:rsidR="00B674FD" w:rsidRPr="00F65D24">
        <w:rPr>
          <w:sz w:val="24"/>
          <w:szCs w:val="24"/>
        </w:rPr>
        <w:t xml:space="preserve"> [computer software]</w:t>
      </w:r>
      <w:r w:rsidRPr="00F65D24">
        <w:rPr>
          <w:sz w:val="24"/>
          <w:szCs w:val="24"/>
        </w:rPr>
        <w:t>.</w:t>
      </w:r>
    </w:p>
    <w:p w14:paraId="11972B1F" w14:textId="77777777" w:rsidR="00D746DC" w:rsidRPr="00F65D24" w:rsidRDefault="00D746DC" w:rsidP="00BF6B40">
      <w:pPr>
        <w:pStyle w:val="title1"/>
        <w:shd w:val="clear" w:color="auto" w:fill="FFFFFF"/>
        <w:spacing w:line="480" w:lineRule="auto"/>
        <w:rPr>
          <w:sz w:val="24"/>
          <w:szCs w:val="24"/>
        </w:rPr>
      </w:pPr>
    </w:p>
    <w:p w14:paraId="1EDF5D78" w14:textId="1B55B708" w:rsidR="0057393C" w:rsidRPr="00F65D24" w:rsidRDefault="00962208" w:rsidP="00BF6B40">
      <w:pPr>
        <w:pStyle w:val="title1"/>
        <w:shd w:val="clear" w:color="auto" w:fill="FFFFFF"/>
        <w:spacing w:line="480" w:lineRule="auto"/>
        <w:rPr>
          <w:sz w:val="24"/>
          <w:szCs w:val="24"/>
        </w:rPr>
      </w:pPr>
      <w:r>
        <w:rPr>
          <w:sz w:val="24"/>
          <w:szCs w:val="24"/>
        </w:rPr>
        <w:t>Pypendop,</w:t>
      </w:r>
      <w:r w:rsidR="0057393C" w:rsidRPr="00F65D24">
        <w:rPr>
          <w:sz w:val="24"/>
          <w:szCs w:val="24"/>
        </w:rPr>
        <w:t xml:space="preserve"> B.H.</w:t>
      </w:r>
      <w:r>
        <w:rPr>
          <w:sz w:val="24"/>
          <w:szCs w:val="24"/>
        </w:rPr>
        <w:t>,</w:t>
      </w:r>
      <w:r w:rsidR="0057393C" w:rsidRPr="00F65D24">
        <w:rPr>
          <w:sz w:val="24"/>
          <w:szCs w:val="24"/>
        </w:rPr>
        <w:t xml:space="preserve"> Ilkiw, J.E.</w:t>
      </w:r>
      <w:r>
        <w:rPr>
          <w:sz w:val="24"/>
          <w:szCs w:val="24"/>
        </w:rPr>
        <w:t>,</w:t>
      </w:r>
      <w:r w:rsidR="0057393C" w:rsidRPr="00F65D24">
        <w:rPr>
          <w:sz w:val="24"/>
          <w:szCs w:val="24"/>
        </w:rPr>
        <w:t xml:space="preserve"> 2005</w:t>
      </w:r>
      <w:r>
        <w:rPr>
          <w:sz w:val="24"/>
          <w:szCs w:val="24"/>
        </w:rPr>
        <w:t>.</w:t>
      </w:r>
      <w:r w:rsidR="0057393C" w:rsidRPr="00F65D24">
        <w:rPr>
          <w:sz w:val="24"/>
          <w:szCs w:val="24"/>
        </w:rPr>
        <w:t xml:space="preserve"> Pharmacokinetics of ketamine and its metabolite, norketamine, after intravenous administration of a bolus of ketamine to isoflurane-anesthetized dogs. Am</w:t>
      </w:r>
      <w:r>
        <w:rPr>
          <w:sz w:val="24"/>
          <w:szCs w:val="24"/>
        </w:rPr>
        <w:t>.</w:t>
      </w:r>
      <w:r w:rsidR="0057393C" w:rsidRPr="00F65D24">
        <w:rPr>
          <w:sz w:val="24"/>
          <w:szCs w:val="24"/>
        </w:rPr>
        <w:t xml:space="preserve"> J</w:t>
      </w:r>
      <w:r>
        <w:rPr>
          <w:sz w:val="24"/>
          <w:szCs w:val="24"/>
        </w:rPr>
        <w:t>.</w:t>
      </w:r>
      <w:r w:rsidR="0057393C" w:rsidRPr="00F65D24">
        <w:rPr>
          <w:sz w:val="24"/>
          <w:szCs w:val="24"/>
        </w:rPr>
        <w:t xml:space="preserve"> Vet</w:t>
      </w:r>
      <w:r>
        <w:rPr>
          <w:sz w:val="24"/>
          <w:szCs w:val="24"/>
        </w:rPr>
        <w:t>.</w:t>
      </w:r>
      <w:r w:rsidR="0057393C" w:rsidRPr="00F65D24">
        <w:rPr>
          <w:sz w:val="24"/>
          <w:szCs w:val="24"/>
        </w:rPr>
        <w:t xml:space="preserve"> Res</w:t>
      </w:r>
      <w:r>
        <w:rPr>
          <w:sz w:val="24"/>
          <w:szCs w:val="24"/>
        </w:rPr>
        <w:t>.</w:t>
      </w:r>
      <w:r w:rsidR="0057393C" w:rsidRPr="00F65D24">
        <w:rPr>
          <w:sz w:val="24"/>
          <w:szCs w:val="24"/>
        </w:rPr>
        <w:t xml:space="preserve"> 66, 2034</w:t>
      </w:r>
      <w:r w:rsidR="00A95994" w:rsidRPr="00F65D24">
        <w:rPr>
          <w:sz w:val="24"/>
          <w:szCs w:val="24"/>
        </w:rPr>
        <w:t>–</w:t>
      </w:r>
      <w:r w:rsidR="0057393C" w:rsidRPr="00F65D24">
        <w:rPr>
          <w:sz w:val="24"/>
          <w:szCs w:val="24"/>
        </w:rPr>
        <w:t>2038.</w:t>
      </w:r>
    </w:p>
    <w:p w14:paraId="057F821C" w14:textId="77777777" w:rsidR="00E76D3D" w:rsidRPr="00F65D24" w:rsidRDefault="00E76D3D" w:rsidP="00BF6B40">
      <w:pPr>
        <w:pStyle w:val="title1"/>
        <w:shd w:val="clear" w:color="auto" w:fill="FFFFFF"/>
        <w:spacing w:line="480" w:lineRule="auto"/>
        <w:rPr>
          <w:sz w:val="24"/>
          <w:szCs w:val="24"/>
        </w:rPr>
      </w:pPr>
    </w:p>
    <w:p w14:paraId="07AF1490" w14:textId="234D1AA7" w:rsidR="00E76D3D" w:rsidRPr="00F65D24" w:rsidRDefault="00BA7567" w:rsidP="00BF6B40">
      <w:pPr>
        <w:pStyle w:val="title1"/>
        <w:shd w:val="clear" w:color="auto" w:fill="FFFFFF"/>
        <w:spacing w:line="480" w:lineRule="auto"/>
        <w:rPr>
          <w:sz w:val="24"/>
          <w:szCs w:val="24"/>
        </w:rPr>
      </w:pPr>
      <w:r w:rsidRPr="00F65D24">
        <w:rPr>
          <w:sz w:val="24"/>
          <w:szCs w:val="24"/>
        </w:rPr>
        <w:t>R Development Core Team</w:t>
      </w:r>
      <w:r w:rsidR="00962208">
        <w:rPr>
          <w:sz w:val="24"/>
          <w:szCs w:val="24"/>
        </w:rPr>
        <w:t xml:space="preserve">, </w:t>
      </w:r>
      <w:r w:rsidRPr="00F65D24">
        <w:rPr>
          <w:sz w:val="24"/>
          <w:szCs w:val="24"/>
        </w:rPr>
        <w:t>2011</w:t>
      </w:r>
      <w:r w:rsidR="00962208">
        <w:rPr>
          <w:sz w:val="24"/>
          <w:szCs w:val="24"/>
        </w:rPr>
        <w:t>.</w:t>
      </w:r>
      <w:r w:rsidR="00E76D3D" w:rsidRPr="00F65D24">
        <w:rPr>
          <w:sz w:val="24"/>
          <w:szCs w:val="24"/>
        </w:rPr>
        <w:t xml:space="preserve"> R: A language and environment for statistical computing.</w:t>
      </w:r>
      <w:r w:rsidRPr="00F65D24">
        <w:rPr>
          <w:sz w:val="24"/>
          <w:szCs w:val="24"/>
        </w:rPr>
        <w:t xml:space="preserve"> </w:t>
      </w:r>
      <w:r w:rsidR="00E76D3D" w:rsidRPr="00F65D24">
        <w:rPr>
          <w:sz w:val="24"/>
          <w:szCs w:val="24"/>
        </w:rPr>
        <w:t>R Foundation for Statistical Computing, Vienna, Austria. ISBN 3-900051-07-0</w:t>
      </w:r>
      <w:r w:rsidR="00425240" w:rsidRPr="00F65D24">
        <w:rPr>
          <w:sz w:val="24"/>
          <w:szCs w:val="24"/>
        </w:rPr>
        <w:t>.</w:t>
      </w:r>
      <w:r w:rsidR="00E76D3D" w:rsidRPr="00F65D24">
        <w:rPr>
          <w:sz w:val="24"/>
          <w:szCs w:val="24"/>
        </w:rPr>
        <w:t xml:space="preserve"> </w:t>
      </w:r>
      <w:r w:rsidRPr="00F65D24">
        <w:rPr>
          <w:sz w:val="24"/>
          <w:szCs w:val="24"/>
        </w:rPr>
        <w:t xml:space="preserve">URL </w:t>
      </w:r>
      <w:r w:rsidR="00E76D3D" w:rsidRPr="00F65D24">
        <w:rPr>
          <w:sz w:val="24"/>
          <w:szCs w:val="24"/>
        </w:rPr>
        <w:t>http://www.R-project.org/.</w:t>
      </w:r>
    </w:p>
    <w:p w14:paraId="62B4881D" w14:textId="77777777" w:rsidR="00E76D3D" w:rsidRPr="00F65D24" w:rsidRDefault="00E76D3D" w:rsidP="00BF6B40">
      <w:pPr>
        <w:pStyle w:val="title1"/>
        <w:shd w:val="clear" w:color="auto" w:fill="FFFFFF"/>
        <w:spacing w:line="480" w:lineRule="auto"/>
        <w:rPr>
          <w:sz w:val="24"/>
          <w:szCs w:val="24"/>
        </w:rPr>
      </w:pPr>
    </w:p>
    <w:p w14:paraId="42D6BC64" w14:textId="3E0407B5" w:rsidR="00E76D3D" w:rsidRPr="00F65D24" w:rsidRDefault="00E76D3D" w:rsidP="00BF6B40">
      <w:pPr>
        <w:pStyle w:val="title1"/>
        <w:shd w:val="clear" w:color="auto" w:fill="FFFFFF"/>
        <w:spacing w:line="480" w:lineRule="auto"/>
        <w:rPr>
          <w:sz w:val="24"/>
          <w:szCs w:val="24"/>
        </w:rPr>
      </w:pPr>
      <w:r w:rsidRPr="00962208">
        <w:rPr>
          <w:sz w:val="24"/>
          <w:szCs w:val="24"/>
          <w:lang w:val="it-IT"/>
        </w:rPr>
        <w:t>Roncada, P., Zaghini, A., Riciputi, C., Romagnoli, N.</w:t>
      </w:r>
      <w:r w:rsidR="00962208" w:rsidRPr="00962208">
        <w:rPr>
          <w:sz w:val="24"/>
          <w:szCs w:val="24"/>
          <w:lang w:val="it-IT"/>
        </w:rPr>
        <w:t>,</w:t>
      </w:r>
      <w:r w:rsidRPr="00962208">
        <w:rPr>
          <w:sz w:val="24"/>
          <w:szCs w:val="24"/>
          <w:lang w:val="it-IT"/>
        </w:rPr>
        <w:t xml:space="preserve"> Spadari, A.</w:t>
      </w:r>
      <w:r w:rsidR="00962208" w:rsidRPr="00962208">
        <w:rPr>
          <w:sz w:val="24"/>
          <w:szCs w:val="24"/>
          <w:lang w:val="it-IT"/>
        </w:rPr>
        <w:t>,</w:t>
      </w:r>
      <w:r w:rsidRPr="00962208">
        <w:rPr>
          <w:sz w:val="24"/>
          <w:szCs w:val="24"/>
          <w:lang w:val="it-IT"/>
        </w:rPr>
        <w:t xml:space="preserve"> 2003</w:t>
      </w:r>
      <w:r w:rsidR="00962208" w:rsidRPr="00962208">
        <w:rPr>
          <w:sz w:val="24"/>
          <w:szCs w:val="24"/>
          <w:lang w:val="it-IT"/>
        </w:rPr>
        <w:t>.</w:t>
      </w:r>
      <w:r w:rsidRPr="00962208">
        <w:rPr>
          <w:sz w:val="24"/>
          <w:szCs w:val="24"/>
          <w:lang w:val="it-IT"/>
        </w:rPr>
        <w:t xml:space="preserve"> </w:t>
      </w:r>
      <w:r w:rsidRPr="00F65D24">
        <w:rPr>
          <w:sz w:val="24"/>
          <w:szCs w:val="24"/>
        </w:rPr>
        <w:t>Kinetics of ketamine plasma and urine metabolite levels following intravenous administration in the dog. Vet</w:t>
      </w:r>
      <w:r w:rsidR="002F6215">
        <w:rPr>
          <w:sz w:val="24"/>
          <w:szCs w:val="24"/>
        </w:rPr>
        <w:t>.</w:t>
      </w:r>
      <w:r w:rsidRPr="00F65D24">
        <w:rPr>
          <w:sz w:val="24"/>
          <w:szCs w:val="24"/>
        </w:rPr>
        <w:t xml:space="preserve"> Res</w:t>
      </w:r>
      <w:r w:rsidR="002F6215">
        <w:rPr>
          <w:sz w:val="24"/>
          <w:szCs w:val="24"/>
        </w:rPr>
        <w:t>.</w:t>
      </w:r>
      <w:r w:rsidRPr="00F65D24">
        <w:rPr>
          <w:sz w:val="24"/>
          <w:szCs w:val="24"/>
        </w:rPr>
        <w:t xml:space="preserve"> </w:t>
      </w:r>
      <w:r w:rsidR="002F6215">
        <w:rPr>
          <w:sz w:val="24"/>
          <w:szCs w:val="24"/>
        </w:rPr>
        <w:t>C</w:t>
      </w:r>
      <w:r w:rsidRPr="00F65D24">
        <w:rPr>
          <w:sz w:val="24"/>
          <w:szCs w:val="24"/>
        </w:rPr>
        <w:t>ommun</w:t>
      </w:r>
      <w:r w:rsidR="002F6215">
        <w:rPr>
          <w:sz w:val="24"/>
          <w:szCs w:val="24"/>
        </w:rPr>
        <w:t>.</w:t>
      </w:r>
      <w:r w:rsidRPr="00F65D24">
        <w:rPr>
          <w:sz w:val="24"/>
          <w:szCs w:val="24"/>
        </w:rPr>
        <w:t xml:space="preserve"> 27(S1), 433</w:t>
      </w:r>
      <w:r w:rsidR="00A95994" w:rsidRPr="00F65D24">
        <w:rPr>
          <w:sz w:val="24"/>
          <w:szCs w:val="24"/>
        </w:rPr>
        <w:t>–</w:t>
      </w:r>
      <w:r w:rsidRPr="00F65D24">
        <w:rPr>
          <w:sz w:val="24"/>
          <w:szCs w:val="24"/>
        </w:rPr>
        <w:t>436.</w:t>
      </w:r>
    </w:p>
    <w:p w14:paraId="43062BD5" w14:textId="77777777" w:rsidR="00E76D3D" w:rsidRPr="00F65D24" w:rsidRDefault="00E76D3D" w:rsidP="00BF6B40">
      <w:pPr>
        <w:pStyle w:val="title1"/>
        <w:shd w:val="clear" w:color="auto" w:fill="FFFFFF"/>
        <w:spacing w:line="480" w:lineRule="auto"/>
        <w:rPr>
          <w:sz w:val="24"/>
          <w:szCs w:val="24"/>
        </w:rPr>
      </w:pPr>
    </w:p>
    <w:p w14:paraId="5ECC6C9C" w14:textId="1B83325F" w:rsidR="00E76D3D" w:rsidRPr="00F65D24" w:rsidRDefault="00E76D3D" w:rsidP="00BF6B40">
      <w:pPr>
        <w:pStyle w:val="title1"/>
        <w:shd w:val="clear" w:color="auto" w:fill="FFFFFF"/>
        <w:spacing w:line="480" w:lineRule="auto"/>
        <w:rPr>
          <w:sz w:val="24"/>
          <w:szCs w:val="24"/>
        </w:rPr>
      </w:pPr>
      <w:r w:rsidRPr="00F65D24">
        <w:rPr>
          <w:sz w:val="24"/>
          <w:szCs w:val="24"/>
        </w:rPr>
        <w:t>Schmidt, A., Oye, I.</w:t>
      </w:r>
      <w:r w:rsidR="002F6215">
        <w:rPr>
          <w:sz w:val="24"/>
          <w:szCs w:val="24"/>
        </w:rPr>
        <w:t>,</w:t>
      </w:r>
      <w:r w:rsidRPr="00F65D24">
        <w:rPr>
          <w:sz w:val="24"/>
          <w:szCs w:val="24"/>
        </w:rPr>
        <w:t xml:space="preserve"> Akeson, J.</w:t>
      </w:r>
      <w:r w:rsidR="002F6215">
        <w:rPr>
          <w:sz w:val="24"/>
          <w:szCs w:val="24"/>
        </w:rPr>
        <w:t xml:space="preserve">, </w:t>
      </w:r>
      <w:r w:rsidRPr="00F65D24">
        <w:rPr>
          <w:sz w:val="24"/>
          <w:szCs w:val="24"/>
        </w:rPr>
        <w:t>2005</w:t>
      </w:r>
      <w:r w:rsidR="002F6215">
        <w:rPr>
          <w:sz w:val="24"/>
          <w:szCs w:val="24"/>
        </w:rPr>
        <w:t>.</w:t>
      </w:r>
      <w:r w:rsidR="00CF6983" w:rsidRPr="00F65D24">
        <w:rPr>
          <w:sz w:val="24"/>
          <w:szCs w:val="24"/>
        </w:rPr>
        <w:t xml:space="preserve"> </w:t>
      </w:r>
      <w:r w:rsidRPr="00F65D24">
        <w:rPr>
          <w:sz w:val="24"/>
          <w:szCs w:val="24"/>
        </w:rPr>
        <w:t>Cerebral physiological responses to bolus injection of racemic, S(+)- or R(-)-ketamine in the pig. Acta Anaesth</w:t>
      </w:r>
      <w:r w:rsidR="002F6215">
        <w:rPr>
          <w:sz w:val="24"/>
          <w:szCs w:val="24"/>
        </w:rPr>
        <w:t>.</w:t>
      </w:r>
      <w:r w:rsidRPr="00F65D24">
        <w:rPr>
          <w:sz w:val="24"/>
          <w:szCs w:val="24"/>
        </w:rPr>
        <w:t xml:space="preserve"> Scand</w:t>
      </w:r>
      <w:r w:rsidR="002F6215">
        <w:rPr>
          <w:sz w:val="24"/>
          <w:szCs w:val="24"/>
        </w:rPr>
        <w:t>.</w:t>
      </w:r>
      <w:r w:rsidRPr="00F65D24">
        <w:rPr>
          <w:sz w:val="24"/>
          <w:szCs w:val="24"/>
        </w:rPr>
        <w:t xml:space="preserve"> 49, 1436</w:t>
      </w:r>
      <w:r w:rsidR="00A95994" w:rsidRPr="00F65D24">
        <w:rPr>
          <w:sz w:val="24"/>
          <w:szCs w:val="24"/>
        </w:rPr>
        <w:t>–</w:t>
      </w:r>
      <w:r w:rsidRPr="00F65D24">
        <w:rPr>
          <w:sz w:val="24"/>
          <w:szCs w:val="24"/>
        </w:rPr>
        <w:t>1442.</w:t>
      </w:r>
    </w:p>
    <w:p w14:paraId="636F7B87" w14:textId="77777777" w:rsidR="00E76D3D" w:rsidRPr="00F65D24" w:rsidRDefault="00E76D3D" w:rsidP="00BF6B40">
      <w:pPr>
        <w:pStyle w:val="title1"/>
        <w:shd w:val="clear" w:color="auto" w:fill="FFFFFF"/>
        <w:spacing w:line="480" w:lineRule="auto"/>
        <w:rPr>
          <w:sz w:val="24"/>
          <w:szCs w:val="24"/>
        </w:rPr>
      </w:pPr>
    </w:p>
    <w:p w14:paraId="46E2E899" w14:textId="5FC3EF19" w:rsidR="00E76D3D" w:rsidRPr="00F65D24" w:rsidRDefault="00CF6983" w:rsidP="00BF6B40">
      <w:pPr>
        <w:pStyle w:val="title1"/>
        <w:shd w:val="clear" w:color="auto" w:fill="FFFFFF"/>
        <w:spacing w:line="480" w:lineRule="auto"/>
        <w:rPr>
          <w:sz w:val="24"/>
          <w:szCs w:val="24"/>
        </w:rPr>
      </w:pPr>
      <w:r w:rsidRPr="00F65D24">
        <w:rPr>
          <w:sz w:val="24"/>
          <w:szCs w:val="24"/>
        </w:rPr>
        <w:t>Schwartz, G.</w:t>
      </w:r>
      <w:r w:rsidR="002F6215">
        <w:rPr>
          <w:sz w:val="24"/>
          <w:szCs w:val="24"/>
        </w:rPr>
        <w:t xml:space="preserve">, </w:t>
      </w:r>
      <w:r w:rsidR="00E76D3D" w:rsidRPr="00F65D24">
        <w:rPr>
          <w:sz w:val="24"/>
          <w:szCs w:val="24"/>
        </w:rPr>
        <w:t>1978</w:t>
      </w:r>
      <w:r w:rsidR="002F6215">
        <w:rPr>
          <w:sz w:val="24"/>
          <w:szCs w:val="24"/>
        </w:rPr>
        <w:t>.</w:t>
      </w:r>
      <w:r w:rsidR="00E76D3D" w:rsidRPr="00F65D24">
        <w:rPr>
          <w:sz w:val="24"/>
          <w:szCs w:val="24"/>
        </w:rPr>
        <w:t xml:space="preserve"> Estimating the dimension of a model. Ann</w:t>
      </w:r>
      <w:r w:rsidR="002F6215">
        <w:rPr>
          <w:sz w:val="24"/>
          <w:szCs w:val="24"/>
        </w:rPr>
        <w:t>.</w:t>
      </w:r>
      <w:r w:rsidR="00E76D3D" w:rsidRPr="00F65D24">
        <w:rPr>
          <w:sz w:val="24"/>
          <w:szCs w:val="24"/>
        </w:rPr>
        <w:t xml:space="preserve"> Stat</w:t>
      </w:r>
      <w:r w:rsidR="002F6215">
        <w:rPr>
          <w:sz w:val="24"/>
          <w:szCs w:val="24"/>
        </w:rPr>
        <w:t>.</w:t>
      </w:r>
      <w:r w:rsidR="00E76D3D" w:rsidRPr="00F65D24">
        <w:rPr>
          <w:sz w:val="24"/>
          <w:szCs w:val="24"/>
        </w:rPr>
        <w:t xml:space="preserve"> 6, 461–</w:t>
      </w:r>
      <w:r w:rsidR="00A95994" w:rsidRPr="00F65D24">
        <w:rPr>
          <w:sz w:val="24"/>
          <w:szCs w:val="24"/>
        </w:rPr>
        <w:t>4</w:t>
      </w:r>
      <w:r w:rsidR="00E76D3D" w:rsidRPr="00F65D24">
        <w:rPr>
          <w:sz w:val="24"/>
          <w:szCs w:val="24"/>
        </w:rPr>
        <w:t>64.</w:t>
      </w:r>
    </w:p>
    <w:p w14:paraId="0A020768" w14:textId="77777777" w:rsidR="00E76D3D" w:rsidRPr="00F65D24" w:rsidRDefault="00E76D3D" w:rsidP="00BF6B40">
      <w:pPr>
        <w:pStyle w:val="title1"/>
        <w:shd w:val="clear" w:color="auto" w:fill="FFFFFF"/>
        <w:spacing w:line="480" w:lineRule="auto"/>
        <w:rPr>
          <w:sz w:val="24"/>
          <w:szCs w:val="24"/>
        </w:rPr>
      </w:pPr>
    </w:p>
    <w:p w14:paraId="0AE2E1BF" w14:textId="36972CAB" w:rsidR="00E76D3D" w:rsidRPr="00985234" w:rsidRDefault="00E76D3D" w:rsidP="00BF6B40">
      <w:pPr>
        <w:pStyle w:val="title1"/>
        <w:shd w:val="clear" w:color="auto" w:fill="FFFFFF"/>
        <w:spacing w:line="480" w:lineRule="auto"/>
        <w:rPr>
          <w:sz w:val="24"/>
          <w:szCs w:val="24"/>
          <w:lang w:val="it-IT"/>
        </w:rPr>
      </w:pPr>
      <w:r w:rsidRPr="00F65D24">
        <w:rPr>
          <w:sz w:val="24"/>
          <w:szCs w:val="24"/>
        </w:rPr>
        <w:t>Schwieger, I.M., Szlam, F.</w:t>
      </w:r>
      <w:r w:rsidR="002F6215">
        <w:rPr>
          <w:sz w:val="24"/>
          <w:szCs w:val="24"/>
        </w:rPr>
        <w:t>,</w:t>
      </w:r>
      <w:r w:rsidRPr="00F65D24">
        <w:rPr>
          <w:sz w:val="24"/>
          <w:szCs w:val="24"/>
        </w:rPr>
        <w:t xml:space="preserve"> Hug, C.C.</w:t>
      </w:r>
      <w:r w:rsidR="002F6215">
        <w:rPr>
          <w:sz w:val="24"/>
          <w:szCs w:val="24"/>
        </w:rPr>
        <w:t xml:space="preserve">, </w:t>
      </w:r>
      <w:r w:rsidRPr="00F65D24">
        <w:rPr>
          <w:sz w:val="24"/>
          <w:szCs w:val="24"/>
        </w:rPr>
        <w:t>1991</w:t>
      </w:r>
      <w:r w:rsidR="002F6215">
        <w:rPr>
          <w:sz w:val="24"/>
          <w:szCs w:val="24"/>
        </w:rPr>
        <w:t>.</w:t>
      </w:r>
      <w:r w:rsidRPr="00F65D24">
        <w:rPr>
          <w:sz w:val="24"/>
          <w:szCs w:val="24"/>
        </w:rPr>
        <w:t xml:space="preserve"> The pharmacokinetics and pharmacodynamics of ketamine in dogs anesthetized with enflurane. </w:t>
      </w:r>
      <w:r w:rsidR="006D0BC7" w:rsidRPr="00985234">
        <w:rPr>
          <w:sz w:val="24"/>
          <w:szCs w:val="24"/>
          <w:lang w:val="it-IT"/>
        </w:rPr>
        <w:t>J</w:t>
      </w:r>
      <w:r w:rsidR="002F6215" w:rsidRPr="00985234">
        <w:rPr>
          <w:sz w:val="24"/>
          <w:szCs w:val="24"/>
          <w:lang w:val="it-IT"/>
        </w:rPr>
        <w:t>.</w:t>
      </w:r>
      <w:r w:rsidR="006D0BC7" w:rsidRPr="00985234">
        <w:rPr>
          <w:sz w:val="24"/>
          <w:szCs w:val="24"/>
          <w:lang w:val="it-IT"/>
        </w:rPr>
        <w:t xml:space="preserve"> Pharmacokinet</w:t>
      </w:r>
      <w:r w:rsidR="002F6215" w:rsidRPr="00985234">
        <w:rPr>
          <w:sz w:val="24"/>
          <w:szCs w:val="24"/>
          <w:lang w:val="it-IT"/>
        </w:rPr>
        <w:t>.</w:t>
      </w:r>
      <w:r w:rsidR="006D0BC7" w:rsidRPr="00985234">
        <w:rPr>
          <w:sz w:val="24"/>
          <w:szCs w:val="24"/>
          <w:lang w:val="it-IT"/>
        </w:rPr>
        <w:t xml:space="preserve"> Biop</w:t>
      </w:r>
      <w:r w:rsidR="002F6215" w:rsidRPr="00985234">
        <w:rPr>
          <w:sz w:val="24"/>
          <w:szCs w:val="24"/>
          <w:lang w:val="it-IT"/>
        </w:rPr>
        <w:t>.</w:t>
      </w:r>
      <w:r w:rsidR="006D0BC7" w:rsidRPr="00985234">
        <w:rPr>
          <w:sz w:val="24"/>
          <w:szCs w:val="24"/>
          <w:lang w:val="it-IT"/>
        </w:rPr>
        <w:t xml:space="preserve"> </w:t>
      </w:r>
      <w:r w:rsidRPr="00985234">
        <w:rPr>
          <w:sz w:val="24"/>
          <w:szCs w:val="24"/>
          <w:lang w:val="it-IT"/>
        </w:rPr>
        <w:t>19, 149</w:t>
      </w:r>
      <w:r w:rsidR="00A95994" w:rsidRPr="00985234">
        <w:rPr>
          <w:sz w:val="24"/>
          <w:szCs w:val="24"/>
          <w:lang w:val="it-IT"/>
        </w:rPr>
        <w:t>–</w:t>
      </w:r>
      <w:r w:rsidR="00CF6983" w:rsidRPr="00985234">
        <w:rPr>
          <w:sz w:val="24"/>
          <w:szCs w:val="24"/>
          <w:lang w:val="it-IT"/>
        </w:rPr>
        <w:t>1</w:t>
      </w:r>
      <w:r w:rsidRPr="00985234">
        <w:rPr>
          <w:sz w:val="24"/>
          <w:szCs w:val="24"/>
          <w:lang w:val="it-IT"/>
        </w:rPr>
        <w:t>56.</w:t>
      </w:r>
    </w:p>
    <w:p w14:paraId="3CFB225F" w14:textId="77777777" w:rsidR="00E76D3D" w:rsidRPr="00985234" w:rsidRDefault="00E76D3D" w:rsidP="00BF6B40">
      <w:pPr>
        <w:pStyle w:val="title1"/>
        <w:shd w:val="clear" w:color="auto" w:fill="FFFFFF"/>
        <w:spacing w:line="480" w:lineRule="auto"/>
        <w:rPr>
          <w:sz w:val="24"/>
          <w:szCs w:val="24"/>
          <w:lang w:val="it-IT"/>
        </w:rPr>
      </w:pPr>
    </w:p>
    <w:p w14:paraId="09626304" w14:textId="1081A332" w:rsidR="00E76D3D" w:rsidRPr="00F65D24" w:rsidRDefault="00E76D3D" w:rsidP="00BF6B40">
      <w:pPr>
        <w:pStyle w:val="title1"/>
        <w:shd w:val="clear" w:color="auto" w:fill="FFFFFF"/>
        <w:spacing w:line="480" w:lineRule="auto"/>
        <w:rPr>
          <w:sz w:val="24"/>
          <w:szCs w:val="24"/>
        </w:rPr>
      </w:pPr>
      <w:r w:rsidRPr="002F6215">
        <w:rPr>
          <w:sz w:val="24"/>
          <w:szCs w:val="24"/>
          <w:lang w:val="it-IT"/>
        </w:rPr>
        <w:t xml:space="preserve">Sergi, M., Bafile, E., Compagnone, D., Curini, </w:t>
      </w:r>
      <w:r w:rsidR="00CF6983" w:rsidRPr="002F6215">
        <w:rPr>
          <w:sz w:val="24"/>
          <w:szCs w:val="24"/>
          <w:lang w:val="it-IT"/>
        </w:rPr>
        <w:t>R., D’Ascenzo, G.</w:t>
      </w:r>
      <w:r w:rsidR="002F6215" w:rsidRPr="002F6215">
        <w:rPr>
          <w:sz w:val="24"/>
          <w:szCs w:val="24"/>
          <w:lang w:val="it-IT"/>
        </w:rPr>
        <w:t>,</w:t>
      </w:r>
      <w:r w:rsidR="00CF6983" w:rsidRPr="002F6215">
        <w:rPr>
          <w:sz w:val="24"/>
          <w:szCs w:val="24"/>
          <w:lang w:val="it-IT"/>
        </w:rPr>
        <w:t xml:space="preserve"> Romolo, F.S.</w:t>
      </w:r>
      <w:r w:rsidR="002F6215" w:rsidRPr="002F6215">
        <w:rPr>
          <w:sz w:val="24"/>
          <w:szCs w:val="24"/>
          <w:lang w:val="it-IT"/>
        </w:rPr>
        <w:t xml:space="preserve">, </w:t>
      </w:r>
      <w:r w:rsidRPr="002F6215">
        <w:rPr>
          <w:sz w:val="24"/>
          <w:szCs w:val="24"/>
          <w:lang w:val="it-IT"/>
        </w:rPr>
        <w:t>2009</w:t>
      </w:r>
      <w:r w:rsidR="002F6215" w:rsidRPr="002F6215">
        <w:rPr>
          <w:sz w:val="24"/>
          <w:szCs w:val="24"/>
          <w:lang w:val="it-IT"/>
        </w:rPr>
        <w:t>.</w:t>
      </w:r>
      <w:r w:rsidRPr="002F6215">
        <w:rPr>
          <w:sz w:val="24"/>
          <w:szCs w:val="24"/>
          <w:lang w:val="it-IT"/>
        </w:rPr>
        <w:t xml:space="preserve"> </w:t>
      </w:r>
      <w:r w:rsidRPr="00F65D24">
        <w:rPr>
          <w:sz w:val="24"/>
          <w:szCs w:val="24"/>
        </w:rPr>
        <w:t>Multiclass analysis of illicit drugs in plasma and oral fluids by LC-MS/MS. Anal</w:t>
      </w:r>
      <w:r w:rsidR="002F6215">
        <w:rPr>
          <w:sz w:val="24"/>
          <w:szCs w:val="24"/>
        </w:rPr>
        <w:t>.</w:t>
      </w:r>
      <w:r w:rsidRPr="00F65D24">
        <w:rPr>
          <w:sz w:val="24"/>
          <w:szCs w:val="24"/>
        </w:rPr>
        <w:t xml:space="preserve"> Bioanal</w:t>
      </w:r>
      <w:r w:rsidR="002F6215">
        <w:rPr>
          <w:sz w:val="24"/>
          <w:szCs w:val="24"/>
        </w:rPr>
        <w:t>.</w:t>
      </w:r>
      <w:r w:rsidRPr="00F65D24">
        <w:rPr>
          <w:sz w:val="24"/>
          <w:szCs w:val="24"/>
        </w:rPr>
        <w:t xml:space="preserve"> Chem</w:t>
      </w:r>
      <w:r w:rsidR="002F6215">
        <w:rPr>
          <w:sz w:val="24"/>
          <w:szCs w:val="24"/>
        </w:rPr>
        <w:t>.</w:t>
      </w:r>
      <w:r w:rsidRPr="00F65D24">
        <w:rPr>
          <w:sz w:val="24"/>
          <w:szCs w:val="24"/>
        </w:rPr>
        <w:t xml:space="preserve"> 393, 709</w:t>
      </w:r>
      <w:r w:rsidR="00A95994" w:rsidRPr="00F65D24">
        <w:rPr>
          <w:sz w:val="24"/>
          <w:szCs w:val="24"/>
        </w:rPr>
        <w:t>–</w:t>
      </w:r>
      <w:r w:rsidRPr="00F65D24">
        <w:rPr>
          <w:sz w:val="24"/>
          <w:szCs w:val="24"/>
        </w:rPr>
        <w:t>718.</w:t>
      </w:r>
    </w:p>
    <w:p w14:paraId="1E7D5564" w14:textId="77777777" w:rsidR="00E76D3D" w:rsidRPr="00F65D24" w:rsidRDefault="00E76D3D" w:rsidP="00BF6B40">
      <w:pPr>
        <w:pStyle w:val="title1"/>
        <w:shd w:val="clear" w:color="auto" w:fill="FFFFFF"/>
        <w:spacing w:line="480" w:lineRule="auto"/>
        <w:rPr>
          <w:sz w:val="24"/>
          <w:szCs w:val="24"/>
        </w:rPr>
      </w:pPr>
    </w:p>
    <w:p w14:paraId="49419500" w14:textId="75544798" w:rsidR="00E76D3D" w:rsidRPr="00F65D24" w:rsidRDefault="00E76D3D" w:rsidP="00BF6B40">
      <w:pPr>
        <w:pStyle w:val="title1"/>
        <w:shd w:val="clear" w:color="auto" w:fill="FFFFFF"/>
        <w:spacing w:line="480" w:lineRule="auto"/>
        <w:rPr>
          <w:sz w:val="24"/>
          <w:szCs w:val="24"/>
        </w:rPr>
      </w:pPr>
      <w:r w:rsidRPr="00F65D24">
        <w:rPr>
          <w:sz w:val="24"/>
          <w:szCs w:val="24"/>
        </w:rPr>
        <w:t>Tuk, B, Danhof, M.</w:t>
      </w:r>
      <w:r w:rsidR="002F6215">
        <w:rPr>
          <w:sz w:val="24"/>
          <w:szCs w:val="24"/>
        </w:rPr>
        <w:t>,</w:t>
      </w:r>
      <w:r w:rsidRPr="00F65D24">
        <w:rPr>
          <w:sz w:val="24"/>
          <w:szCs w:val="24"/>
        </w:rPr>
        <w:t xml:space="preserve"> Mandema, J.W.</w:t>
      </w:r>
      <w:r w:rsidR="002F6215">
        <w:rPr>
          <w:sz w:val="24"/>
          <w:szCs w:val="24"/>
        </w:rPr>
        <w:t xml:space="preserve">, </w:t>
      </w:r>
      <w:r w:rsidRPr="00F65D24">
        <w:rPr>
          <w:sz w:val="24"/>
          <w:szCs w:val="24"/>
        </w:rPr>
        <w:t>1997</w:t>
      </w:r>
      <w:r w:rsidR="002F6215">
        <w:rPr>
          <w:sz w:val="24"/>
          <w:szCs w:val="24"/>
        </w:rPr>
        <w:t>.</w:t>
      </w:r>
      <w:r w:rsidRPr="00F65D24">
        <w:rPr>
          <w:sz w:val="24"/>
          <w:szCs w:val="24"/>
        </w:rPr>
        <w:t xml:space="preserve"> The impact on arteriovenous concentration differences on pharmacodynamic parameter estimates. J</w:t>
      </w:r>
      <w:r w:rsidR="002F6215">
        <w:rPr>
          <w:sz w:val="24"/>
          <w:szCs w:val="24"/>
        </w:rPr>
        <w:t>.</w:t>
      </w:r>
      <w:r w:rsidRPr="00F65D24">
        <w:rPr>
          <w:sz w:val="24"/>
          <w:szCs w:val="24"/>
        </w:rPr>
        <w:t xml:space="preserve"> Pharmacokinet</w:t>
      </w:r>
      <w:r w:rsidR="002F6215">
        <w:rPr>
          <w:sz w:val="24"/>
          <w:szCs w:val="24"/>
        </w:rPr>
        <w:t xml:space="preserve">. </w:t>
      </w:r>
      <w:r w:rsidRPr="00F65D24">
        <w:rPr>
          <w:sz w:val="24"/>
          <w:szCs w:val="24"/>
        </w:rPr>
        <w:t>Biop</w:t>
      </w:r>
      <w:r w:rsidR="002F6215">
        <w:rPr>
          <w:sz w:val="24"/>
          <w:szCs w:val="24"/>
        </w:rPr>
        <w:t>.</w:t>
      </w:r>
      <w:r w:rsidRPr="00F65D24">
        <w:rPr>
          <w:sz w:val="24"/>
          <w:szCs w:val="24"/>
        </w:rPr>
        <w:t xml:space="preserve"> 25, 39</w:t>
      </w:r>
      <w:r w:rsidR="00A95994" w:rsidRPr="00F65D24">
        <w:rPr>
          <w:sz w:val="24"/>
          <w:szCs w:val="24"/>
        </w:rPr>
        <w:t>–</w:t>
      </w:r>
      <w:r w:rsidRPr="00F65D24">
        <w:rPr>
          <w:sz w:val="24"/>
          <w:szCs w:val="24"/>
        </w:rPr>
        <w:t>62.</w:t>
      </w:r>
    </w:p>
    <w:p w14:paraId="73FDF943" w14:textId="77777777" w:rsidR="00E76D3D" w:rsidRPr="00F65D24" w:rsidRDefault="00E76D3D" w:rsidP="00BF6B40">
      <w:pPr>
        <w:pStyle w:val="title1"/>
        <w:shd w:val="clear" w:color="auto" w:fill="FFFFFF"/>
        <w:spacing w:line="480" w:lineRule="auto"/>
        <w:rPr>
          <w:sz w:val="24"/>
          <w:szCs w:val="24"/>
        </w:rPr>
      </w:pPr>
    </w:p>
    <w:p w14:paraId="71507E7E" w14:textId="48DC4258" w:rsidR="00E76D3D" w:rsidRPr="00F65D24" w:rsidRDefault="00E76D3D" w:rsidP="00BF6B40">
      <w:pPr>
        <w:pStyle w:val="title1"/>
        <w:shd w:val="clear" w:color="auto" w:fill="FFFFFF"/>
        <w:spacing w:line="480" w:lineRule="auto"/>
        <w:rPr>
          <w:sz w:val="24"/>
          <w:szCs w:val="24"/>
        </w:rPr>
      </w:pPr>
      <w:r w:rsidRPr="00F65D24">
        <w:rPr>
          <w:sz w:val="24"/>
          <w:szCs w:val="24"/>
        </w:rPr>
        <w:t>White, P.F., Marietta, M.P., Pudwill, C.R., Way, M.L.</w:t>
      </w:r>
      <w:r w:rsidR="002F6215">
        <w:rPr>
          <w:sz w:val="24"/>
          <w:szCs w:val="24"/>
        </w:rPr>
        <w:t>,</w:t>
      </w:r>
      <w:r w:rsidRPr="00F65D24">
        <w:rPr>
          <w:sz w:val="24"/>
          <w:szCs w:val="24"/>
        </w:rPr>
        <w:t xml:space="preserve"> Trevor, A.J.</w:t>
      </w:r>
      <w:r w:rsidR="002F6215">
        <w:rPr>
          <w:sz w:val="24"/>
          <w:szCs w:val="24"/>
        </w:rPr>
        <w:t xml:space="preserve">, </w:t>
      </w:r>
      <w:r w:rsidRPr="00F65D24">
        <w:rPr>
          <w:sz w:val="24"/>
          <w:szCs w:val="24"/>
        </w:rPr>
        <w:t>1976</w:t>
      </w:r>
      <w:r w:rsidR="002F6215">
        <w:rPr>
          <w:sz w:val="24"/>
          <w:szCs w:val="24"/>
        </w:rPr>
        <w:t>.</w:t>
      </w:r>
      <w:r w:rsidRPr="00F65D24">
        <w:rPr>
          <w:sz w:val="24"/>
          <w:szCs w:val="24"/>
        </w:rPr>
        <w:t xml:space="preserve"> Effects of halothane anesthesia on the biodisposition of ketamine in rats.</w:t>
      </w:r>
      <w:r w:rsidR="002F6215">
        <w:rPr>
          <w:sz w:val="24"/>
          <w:szCs w:val="24"/>
        </w:rPr>
        <w:t xml:space="preserve"> </w:t>
      </w:r>
      <w:r w:rsidRPr="00F65D24">
        <w:rPr>
          <w:sz w:val="24"/>
          <w:szCs w:val="24"/>
        </w:rPr>
        <w:t>J</w:t>
      </w:r>
      <w:r w:rsidR="002F6215">
        <w:rPr>
          <w:sz w:val="24"/>
          <w:szCs w:val="24"/>
        </w:rPr>
        <w:t>.</w:t>
      </w:r>
      <w:r w:rsidRPr="00F65D24">
        <w:rPr>
          <w:sz w:val="24"/>
          <w:szCs w:val="24"/>
        </w:rPr>
        <w:t xml:space="preserve"> Pharmacol</w:t>
      </w:r>
      <w:r w:rsidR="002F6215">
        <w:rPr>
          <w:sz w:val="24"/>
          <w:szCs w:val="24"/>
        </w:rPr>
        <w:t>.</w:t>
      </w:r>
      <w:r w:rsidRPr="00F65D24">
        <w:rPr>
          <w:sz w:val="24"/>
          <w:szCs w:val="24"/>
        </w:rPr>
        <w:t xml:space="preserve"> Exp</w:t>
      </w:r>
      <w:r w:rsidR="002F6215">
        <w:rPr>
          <w:sz w:val="24"/>
          <w:szCs w:val="24"/>
        </w:rPr>
        <w:t>.</w:t>
      </w:r>
      <w:r w:rsidRPr="00F65D24">
        <w:rPr>
          <w:sz w:val="24"/>
          <w:szCs w:val="24"/>
        </w:rPr>
        <w:t xml:space="preserve"> Ther</w:t>
      </w:r>
      <w:r w:rsidR="002F6215">
        <w:rPr>
          <w:sz w:val="24"/>
          <w:szCs w:val="24"/>
        </w:rPr>
        <w:t>.</w:t>
      </w:r>
      <w:r w:rsidRPr="00F65D24">
        <w:rPr>
          <w:sz w:val="24"/>
          <w:szCs w:val="24"/>
        </w:rPr>
        <w:t xml:space="preserve"> 196, 545</w:t>
      </w:r>
      <w:r w:rsidR="00A95994" w:rsidRPr="00F65D24">
        <w:rPr>
          <w:sz w:val="24"/>
          <w:szCs w:val="24"/>
        </w:rPr>
        <w:t>–</w:t>
      </w:r>
      <w:r w:rsidRPr="00F65D24">
        <w:rPr>
          <w:sz w:val="24"/>
          <w:szCs w:val="24"/>
        </w:rPr>
        <w:t>555.</w:t>
      </w:r>
    </w:p>
    <w:p w14:paraId="38118B0E" w14:textId="77777777" w:rsidR="00E76D3D" w:rsidRPr="00F65D24" w:rsidRDefault="00E76D3D" w:rsidP="00BF6B40">
      <w:pPr>
        <w:pStyle w:val="title1"/>
        <w:shd w:val="clear" w:color="auto" w:fill="FFFFFF"/>
        <w:spacing w:line="480" w:lineRule="auto"/>
        <w:rPr>
          <w:sz w:val="24"/>
          <w:szCs w:val="24"/>
        </w:rPr>
      </w:pPr>
    </w:p>
    <w:p w14:paraId="407806CC" w14:textId="24C0B0A7" w:rsidR="00A95994" w:rsidRPr="00F65D24" w:rsidRDefault="00E76D3D" w:rsidP="00BF6B40">
      <w:pPr>
        <w:pStyle w:val="title1"/>
        <w:shd w:val="clear" w:color="auto" w:fill="FFFFFF"/>
        <w:spacing w:line="480" w:lineRule="auto"/>
        <w:rPr>
          <w:sz w:val="24"/>
          <w:szCs w:val="24"/>
        </w:rPr>
      </w:pPr>
      <w:r w:rsidRPr="00985234">
        <w:rPr>
          <w:sz w:val="24"/>
          <w:szCs w:val="24"/>
        </w:rPr>
        <w:t>Yamaoka, K., Nakagawa, T.</w:t>
      </w:r>
      <w:r w:rsidR="002F6215" w:rsidRPr="00985234">
        <w:rPr>
          <w:sz w:val="24"/>
          <w:szCs w:val="24"/>
        </w:rPr>
        <w:t>,</w:t>
      </w:r>
      <w:r w:rsidRPr="00985234">
        <w:rPr>
          <w:sz w:val="24"/>
          <w:szCs w:val="24"/>
        </w:rPr>
        <w:t xml:space="preserve"> Uno, T.</w:t>
      </w:r>
      <w:r w:rsidR="002F6215" w:rsidRPr="00985234">
        <w:rPr>
          <w:sz w:val="24"/>
          <w:szCs w:val="24"/>
        </w:rPr>
        <w:t xml:space="preserve">, </w:t>
      </w:r>
      <w:r w:rsidRPr="00985234">
        <w:rPr>
          <w:sz w:val="24"/>
          <w:szCs w:val="24"/>
        </w:rPr>
        <w:t>1978</w:t>
      </w:r>
      <w:r w:rsidR="002F6215" w:rsidRPr="00985234">
        <w:rPr>
          <w:sz w:val="24"/>
          <w:szCs w:val="24"/>
        </w:rPr>
        <w:t>.</w:t>
      </w:r>
      <w:r w:rsidRPr="00985234">
        <w:rPr>
          <w:sz w:val="24"/>
          <w:szCs w:val="24"/>
        </w:rPr>
        <w:t xml:space="preserve"> </w:t>
      </w:r>
      <w:r w:rsidRPr="00F65D24">
        <w:rPr>
          <w:sz w:val="24"/>
          <w:szCs w:val="24"/>
        </w:rPr>
        <w:t>Application of Akaike’s information criterion (AIC) in the evaluation of linear pharmacokinetic equations. J</w:t>
      </w:r>
      <w:r w:rsidR="002F6215">
        <w:rPr>
          <w:sz w:val="24"/>
          <w:szCs w:val="24"/>
        </w:rPr>
        <w:t>.</w:t>
      </w:r>
      <w:r w:rsidRPr="00F65D24">
        <w:rPr>
          <w:sz w:val="24"/>
          <w:szCs w:val="24"/>
        </w:rPr>
        <w:t xml:space="preserve"> Pharmacokinet</w:t>
      </w:r>
      <w:r w:rsidR="002F6215">
        <w:rPr>
          <w:sz w:val="24"/>
          <w:szCs w:val="24"/>
        </w:rPr>
        <w:t>.</w:t>
      </w:r>
      <w:r w:rsidRPr="00F65D24">
        <w:rPr>
          <w:sz w:val="24"/>
          <w:szCs w:val="24"/>
        </w:rPr>
        <w:t xml:space="preserve"> Biop</w:t>
      </w:r>
      <w:r w:rsidR="002F6215">
        <w:rPr>
          <w:sz w:val="24"/>
          <w:szCs w:val="24"/>
        </w:rPr>
        <w:t>.</w:t>
      </w:r>
      <w:r w:rsidRPr="00F65D24">
        <w:rPr>
          <w:sz w:val="24"/>
          <w:szCs w:val="24"/>
        </w:rPr>
        <w:t xml:space="preserve"> 6, 165–175.</w:t>
      </w:r>
    </w:p>
    <w:p w14:paraId="72A471EC" w14:textId="6432DC0B" w:rsidR="00A95994" w:rsidRDefault="00A95994">
      <w:r>
        <w:br w:type="page"/>
      </w:r>
    </w:p>
    <w:p w14:paraId="4B5A4835" w14:textId="77777777" w:rsidR="00A95994" w:rsidRDefault="00A95994" w:rsidP="00A95994">
      <w:pPr>
        <w:sectPr w:rsidR="00A95994" w:rsidSect="00AC7E99">
          <w:footerReference w:type="even" r:id="rId9"/>
          <w:footerReference w:type="default" r:id="rId10"/>
          <w:type w:val="continuous"/>
          <w:pgSz w:w="11907" w:h="16840" w:code="9"/>
          <w:pgMar w:top="1418" w:right="1418" w:bottom="1418" w:left="1418" w:header="720" w:footer="720" w:gutter="0"/>
          <w:lnNumType w:countBy="1" w:restart="continuous"/>
          <w:cols w:space="720"/>
          <w:docGrid w:linePitch="360"/>
        </w:sectPr>
      </w:pPr>
    </w:p>
    <w:p w14:paraId="5412383D" w14:textId="77777777" w:rsidR="005E507D" w:rsidRDefault="005E507D" w:rsidP="00AC7E99">
      <w:pPr>
        <w:widowControl w:val="0"/>
        <w:autoSpaceDE w:val="0"/>
        <w:autoSpaceDN w:val="0"/>
        <w:adjustRightInd w:val="0"/>
        <w:spacing w:line="480" w:lineRule="auto"/>
        <w:outlineLvl w:val="0"/>
        <w:rPr>
          <w:b/>
        </w:rPr>
      </w:pPr>
      <w:r w:rsidRPr="00E32F69">
        <w:rPr>
          <w:b/>
        </w:rPr>
        <w:lastRenderedPageBreak/>
        <w:t>Table 1</w:t>
      </w:r>
    </w:p>
    <w:p w14:paraId="5A044F1B" w14:textId="4ECB18FC" w:rsidR="005E507D" w:rsidRDefault="00697472" w:rsidP="00AC7E99">
      <w:pPr>
        <w:widowControl w:val="0"/>
        <w:autoSpaceDE w:val="0"/>
        <w:autoSpaceDN w:val="0"/>
        <w:adjustRightInd w:val="0"/>
        <w:spacing w:line="480" w:lineRule="auto"/>
      </w:pPr>
      <w:r>
        <w:t>Heart rate</w:t>
      </w:r>
      <w:r w:rsidR="005E507D" w:rsidRPr="00D33E7E">
        <w:t xml:space="preserve"> (HR), arterial blood pressures (SAP, MAP, DAP), </w:t>
      </w:r>
      <w:r>
        <w:t>cardiac output (CO),</w:t>
      </w:r>
      <w:r w:rsidRPr="00D33E7E">
        <w:t xml:space="preserve"> </w:t>
      </w:r>
      <w:r>
        <w:t>respiratory rate</w:t>
      </w:r>
      <w:r w:rsidR="005E507D" w:rsidRPr="00D33E7E">
        <w:t xml:space="preserve"> (RR)</w:t>
      </w:r>
      <w:r>
        <w:t xml:space="preserve">, temperature (T), pH, </w:t>
      </w:r>
      <w:r w:rsidR="00052C68">
        <w:t>arterial CO</w:t>
      </w:r>
      <w:r w:rsidR="00052C68" w:rsidRPr="00697472">
        <w:rPr>
          <w:vertAlign w:val="subscript"/>
        </w:rPr>
        <w:t>2</w:t>
      </w:r>
      <w:r w:rsidR="00052C68">
        <w:t xml:space="preserve"> pressure (PaCO</w:t>
      </w:r>
      <w:r w:rsidR="00052C68" w:rsidRPr="00697472">
        <w:rPr>
          <w:vertAlign w:val="subscript"/>
        </w:rPr>
        <w:t>2</w:t>
      </w:r>
      <w:r w:rsidR="00052C68">
        <w:t xml:space="preserve">), </w:t>
      </w:r>
      <w:r>
        <w:t>arterial oxygen pressure (PaO</w:t>
      </w:r>
      <w:r w:rsidRPr="00697472">
        <w:rPr>
          <w:vertAlign w:val="subscript"/>
        </w:rPr>
        <w:t>2</w:t>
      </w:r>
      <w:r>
        <w:t xml:space="preserve">), hemoglobin and electrolyte concentrations </w:t>
      </w:r>
      <w:r w:rsidR="00171AC0">
        <w:t xml:space="preserve">before (0 min) and </w:t>
      </w:r>
      <w:r w:rsidR="005E507D" w:rsidRPr="00D33E7E">
        <w:t>after ketamine (RS-KET) and S-ketamine (S-KET) single bolus administration to six dogs. Data are reported as mean ± standard dev</w:t>
      </w:r>
      <w:r w:rsidR="005E507D">
        <w:t>iation over time (min).</w:t>
      </w:r>
    </w:p>
    <w:p w14:paraId="725B9B91" w14:textId="77777777" w:rsidR="005E507D" w:rsidRDefault="005E507D" w:rsidP="00AC7E99">
      <w:pPr>
        <w:widowControl w:val="0"/>
        <w:autoSpaceDE w:val="0"/>
        <w:autoSpaceDN w:val="0"/>
        <w:adjustRightInd w:val="0"/>
        <w:spacing w:line="480" w:lineRule="auto"/>
      </w:pPr>
    </w:p>
    <w:tbl>
      <w:tblPr>
        <w:tblW w:w="14627" w:type="dxa"/>
        <w:jc w:val="center"/>
        <w:tblCellMar>
          <w:left w:w="28" w:type="dxa"/>
          <w:right w:w="28" w:type="dxa"/>
        </w:tblCellMar>
        <w:tblLook w:val="04A0" w:firstRow="1" w:lastRow="0" w:firstColumn="1" w:lastColumn="0" w:noHBand="0" w:noVBand="1"/>
      </w:tblPr>
      <w:tblGrid>
        <w:gridCol w:w="1361"/>
        <w:gridCol w:w="737"/>
        <w:gridCol w:w="737"/>
        <w:gridCol w:w="737"/>
        <w:gridCol w:w="737"/>
        <w:gridCol w:w="737"/>
        <w:gridCol w:w="737"/>
        <w:gridCol w:w="737"/>
        <w:gridCol w:w="737"/>
        <w:gridCol w:w="737"/>
        <w:gridCol w:w="737"/>
        <w:gridCol w:w="737"/>
        <w:gridCol w:w="737"/>
        <w:gridCol w:w="737"/>
        <w:gridCol w:w="737"/>
        <w:gridCol w:w="737"/>
        <w:gridCol w:w="737"/>
        <w:gridCol w:w="737"/>
        <w:gridCol w:w="737"/>
      </w:tblGrid>
      <w:tr w:rsidR="00DB78B0" w:rsidRPr="009570AC" w14:paraId="400DF181" w14:textId="77777777" w:rsidTr="00AB7FC9">
        <w:trPr>
          <w:trHeight w:val="315"/>
          <w:jc w:val="center"/>
        </w:trPr>
        <w:tc>
          <w:tcPr>
            <w:tcW w:w="1361" w:type="dxa"/>
            <w:tcBorders>
              <w:top w:val="single" w:sz="4" w:space="0" w:color="auto"/>
              <w:right w:val="single" w:sz="4" w:space="0" w:color="auto"/>
            </w:tcBorders>
            <w:shd w:val="clear" w:color="auto" w:fill="auto"/>
            <w:noWrap/>
            <w:vAlign w:val="center"/>
          </w:tcPr>
          <w:p w14:paraId="3F6C04EF" w14:textId="77777777" w:rsidR="00DB78B0" w:rsidRPr="00AB7FC9" w:rsidRDefault="00DB78B0" w:rsidP="009570AC">
            <w:pPr>
              <w:ind w:left="142"/>
              <w:rPr>
                <w:rFonts w:eastAsia="Times New Roman"/>
                <w:b/>
                <w:color w:val="000000"/>
                <w:sz w:val="14"/>
                <w:szCs w:val="14"/>
                <w:lang w:eastAsia="it-IT"/>
              </w:rPr>
            </w:pPr>
          </w:p>
        </w:tc>
        <w:tc>
          <w:tcPr>
            <w:tcW w:w="6633" w:type="dxa"/>
            <w:gridSpan w:val="9"/>
            <w:tcBorders>
              <w:top w:val="single" w:sz="4" w:space="0" w:color="auto"/>
              <w:left w:val="single" w:sz="4" w:space="0" w:color="auto"/>
              <w:right w:val="single" w:sz="4" w:space="0" w:color="auto"/>
            </w:tcBorders>
            <w:shd w:val="clear" w:color="auto" w:fill="auto"/>
            <w:noWrap/>
            <w:vAlign w:val="center"/>
          </w:tcPr>
          <w:p w14:paraId="2E061706" w14:textId="77777777" w:rsidR="00DB78B0" w:rsidRPr="009570AC" w:rsidRDefault="00DB78B0" w:rsidP="009570AC">
            <w:pPr>
              <w:jc w:val="center"/>
              <w:rPr>
                <w:rFonts w:eastAsia="Times New Roman"/>
                <w:b/>
                <w:color w:val="000000"/>
                <w:sz w:val="14"/>
                <w:szCs w:val="14"/>
                <w:lang w:eastAsia="it-IT"/>
              </w:rPr>
            </w:pPr>
            <w:r>
              <w:rPr>
                <w:rFonts w:eastAsia="Times New Roman"/>
                <w:b/>
                <w:color w:val="000000"/>
                <w:sz w:val="14"/>
                <w:szCs w:val="14"/>
                <w:lang w:eastAsia="it-IT"/>
              </w:rPr>
              <w:t>RS-KET</w:t>
            </w:r>
          </w:p>
        </w:tc>
        <w:tc>
          <w:tcPr>
            <w:tcW w:w="6633" w:type="dxa"/>
            <w:gridSpan w:val="9"/>
            <w:tcBorders>
              <w:top w:val="single" w:sz="4" w:space="0" w:color="auto"/>
              <w:left w:val="single" w:sz="4" w:space="0" w:color="auto"/>
            </w:tcBorders>
            <w:shd w:val="clear" w:color="auto" w:fill="auto"/>
            <w:noWrap/>
            <w:vAlign w:val="center"/>
          </w:tcPr>
          <w:p w14:paraId="3AADFE9F" w14:textId="77777777" w:rsidR="00DB78B0" w:rsidRPr="009570AC" w:rsidRDefault="00DB78B0" w:rsidP="009570AC">
            <w:pPr>
              <w:ind w:left="18"/>
              <w:jc w:val="center"/>
              <w:rPr>
                <w:rFonts w:eastAsia="Times New Roman"/>
                <w:b/>
                <w:color w:val="000000"/>
                <w:sz w:val="14"/>
                <w:szCs w:val="14"/>
                <w:lang w:eastAsia="it-IT"/>
              </w:rPr>
            </w:pPr>
            <w:r>
              <w:rPr>
                <w:rFonts w:eastAsia="Times New Roman"/>
                <w:b/>
                <w:color w:val="000000"/>
                <w:sz w:val="14"/>
                <w:szCs w:val="14"/>
                <w:lang w:eastAsia="it-IT"/>
              </w:rPr>
              <w:t>S-KET</w:t>
            </w:r>
          </w:p>
        </w:tc>
      </w:tr>
      <w:tr w:rsidR="00DB78B0" w:rsidRPr="00D93421" w14:paraId="5B395413" w14:textId="77777777" w:rsidTr="00AB7FC9">
        <w:trPr>
          <w:trHeight w:val="315"/>
          <w:jc w:val="center"/>
        </w:trPr>
        <w:tc>
          <w:tcPr>
            <w:tcW w:w="1361" w:type="dxa"/>
            <w:tcBorders>
              <w:top w:val="single" w:sz="4" w:space="0" w:color="auto"/>
              <w:right w:val="single" w:sz="4" w:space="0" w:color="auto"/>
            </w:tcBorders>
            <w:shd w:val="clear" w:color="auto" w:fill="auto"/>
            <w:noWrap/>
            <w:vAlign w:val="center"/>
            <w:hideMark/>
          </w:tcPr>
          <w:p w14:paraId="71F6B03C" w14:textId="77777777" w:rsidR="00DB78B0" w:rsidRPr="00D93421" w:rsidRDefault="00D93421" w:rsidP="00483E62">
            <w:pPr>
              <w:ind w:left="142"/>
              <w:rPr>
                <w:rFonts w:eastAsia="Times New Roman"/>
                <w:b/>
                <w:color w:val="000000"/>
                <w:sz w:val="14"/>
                <w:szCs w:val="14"/>
                <w:lang w:eastAsia="it-IT"/>
              </w:rPr>
            </w:pPr>
            <w:r w:rsidRPr="00D93421">
              <w:rPr>
                <w:rFonts w:eastAsia="Times New Roman"/>
                <w:b/>
                <w:color w:val="000000"/>
                <w:sz w:val="14"/>
                <w:szCs w:val="14"/>
                <w:lang w:eastAsia="it-IT"/>
              </w:rPr>
              <w:t>Time (min)</w:t>
            </w:r>
          </w:p>
        </w:tc>
        <w:tc>
          <w:tcPr>
            <w:tcW w:w="737" w:type="dxa"/>
            <w:tcBorders>
              <w:top w:val="single" w:sz="4" w:space="0" w:color="auto"/>
              <w:left w:val="single" w:sz="4" w:space="0" w:color="auto"/>
            </w:tcBorders>
            <w:shd w:val="clear" w:color="auto" w:fill="auto"/>
            <w:noWrap/>
            <w:vAlign w:val="center"/>
            <w:hideMark/>
          </w:tcPr>
          <w:p w14:paraId="1FD3EDDA"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0</w:t>
            </w:r>
          </w:p>
        </w:tc>
        <w:tc>
          <w:tcPr>
            <w:tcW w:w="737" w:type="dxa"/>
            <w:tcBorders>
              <w:top w:val="single" w:sz="4" w:space="0" w:color="auto"/>
            </w:tcBorders>
            <w:shd w:val="clear" w:color="auto" w:fill="auto"/>
            <w:noWrap/>
            <w:vAlign w:val="center"/>
            <w:hideMark/>
          </w:tcPr>
          <w:p w14:paraId="20588802"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5</w:t>
            </w:r>
          </w:p>
        </w:tc>
        <w:tc>
          <w:tcPr>
            <w:tcW w:w="737" w:type="dxa"/>
            <w:tcBorders>
              <w:top w:val="single" w:sz="4" w:space="0" w:color="auto"/>
            </w:tcBorders>
            <w:shd w:val="clear" w:color="auto" w:fill="auto"/>
            <w:noWrap/>
            <w:vAlign w:val="center"/>
            <w:hideMark/>
          </w:tcPr>
          <w:p w14:paraId="7F6676F6"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15</w:t>
            </w:r>
          </w:p>
        </w:tc>
        <w:tc>
          <w:tcPr>
            <w:tcW w:w="737" w:type="dxa"/>
            <w:tcBorders>
              <w:top w:val="single" w:sz="4" w:space="0" w:color="auto"/>
            </w:tcBorders>
            <w:shd w:val="clear" w:color="auto" w:fill="auto"/>
            <w:noWrap/>
            <w:vAlign w:val="center"/>
            <w:hideMark/>
          </w:tcPr>
          <w:p w14:paraId="18EEAB17"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30</w:t>
            </w:r>
          </w:p>
        </w:tc>
        <w:tc>
          <w:tcPr>
            <w:tcW w:w="737" w:type="dxa"/>
            <w:tcBorders>
              <w:top w:val="single" w:sz="4" w:space="0" w:color="auto"/>
            </w:tcBorders>
            <w:shd w:val="clear" w:color="auto" w:fill="auto"/>
            <w:noWrap/>
            <w:vAlign w:val="center"/>
            <w:hideMark/>
          </w:tcPr>
          <w:p w14:paraId="17263E3E"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45</w:t>
            </w:r>
          </w:p>
        </w:tc>
        <w:tc>
          <w:tcPr>
            <w:tcW w:w="737" w:type="dxa"/>
            <w:tcBorders>
              <w:top w:val="single" w:sz="4" w:space="0" w:color="auto"/>
            </w:tcBorders>
            <w:shd w:val="clear" w:color="auto" w:fill="auto"/>
            <w:noWrap/>
            <w:vAlign w:val="center"/>
            <w:hideMark/>
          </w:tcPr>
          <w:p w14:paraId="312E7C6F"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60</w:t>
            </w:r>
          </w:p>
        </w:tc>
        <w:tc>
          <w:tcPr>
            <w:tcW w:w="737" w:type="dxa"/>
            <w:tcBorders>
              <w:top w:val="single" w:sz="4" w:space="0" w:color="auto"/>
            </w:tcBorders>
            <w:shd w:val="clear" w:color="auto" w:fill="auto"/>
            <w:noWrap/>
            <w:vAlign w:val="center"/>
            <w:hideMark/>
          </w:tcPr>
          <w:p w14:paraId="5F6872BB"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120</w:t>
            </w:r>
          </w:p>
        </w:tc>
        <w:tc>
          <w:tcPr>
            <w:tcW w:w="737" w:type="dxa"/>
            <w:tcBorders>
              <w:top w:val="single" w:sz="4" w:space="0" w:color="auto"/>
            </w:tcBorders>
            <w:shd w:val="clear" w:color="auto" w:fill="auto"/>
            <w:noWrap/>
            <w:vAlign w:val="center"/>
            <w:hideMark/>
          </w:tcPr>
          <w:p w14:paraId="450669EB"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180</w:t>
            </w:r>
          </w:p>
        </w:tc>
        <w:tc>
          <w:tcPr>
            <w:tcW w:w="737" w:type="dxa"/>
            <w:tcBorders>
              <w:top w:val="single" w:sz="4" w:space="0" w:color="auto"/>
              <w:right w:val="single" w:sz="4" w:space="0" w:color="auto"/>
            </w:tcBorders>
            <w:shd w:val="clear" w:color="auto" w:fill="auto"/>
            <w:noWrap/>
            <w:vAlign w:val="center"/>
            <w:hideMark/>
          </w:tcPr>
          <w:p w14:paraId="221A2B1F"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240</w:t>
            </w:r>
          </w:p>
        </w:tc>
        <w:tc>
          <w:tcPr>
            <w:tcW w:w="737" w:type="dxa"/>
            <w:tcBorders>
              <w:top w:val="single" w:sz="4" w:space="0" w:color="auto"/>
              <w:left w:val="single" w:sz="4" w:space="0" w:color="auto"/>
            </w:tcBorders>
            <w:shd w:val="clear" w:color="auto" w:fill="auto"/>
            <w:noWrap/>
            <w:vAlign w:val="center"/>
            <w:hideMark/>
          </w:tcPr>
          <w:p w14:paraId="60F51A6D" w14:textId="77777777" w:rsidR="00DB78B0" w:rsidRPr="00D93421" w:rsidRDefault="00DB78B0" w:rsidP="00483E62">
            <w:pPr>
              <w:ind w:left="-49"/>
              <w:jc w:val="center"/>
              <w:rPr>
                <w:rFonts w:eastAsia="Times New Roman"/>
                <w:b/>
                <w:color w:val="000000"/>
                <w:sz w:val="14"/>
                <w:szCs w:val="14"/>
                <w:lang w:eastAsia="it-IT"/>
              </w:rPr>
            </w:pPr>
            <w:r w:rsidRPr="00D93421">
              <w:rPr>
                <w:rFonts w:eastAsia="Times New Roman"/>
                <w:b/>
                <w:color w:val="000000"/>
                <w:sz w:val="14"/>
                <w:szCs w:val="14"/>
                <w:lang w:eastAsia="it-IT"/>
              </w:rPr>
              <w:t>0</w:t>
            </w:r>
          </w:p>
        </w:tc>
        <w:tc>
          <w:tcPr>
            <w:tcW w:w="737" w:type="dxa"/>
            <w:tcBorders>
              <w:top w:val="single" w:sz="4" w:space="0" w:color="auto"/>
            </w:tcBorders>
            <w:shd w:val="clear" w:color="auto" w:fill="auto"/>
            <w:noWrap/>
            <w:vAlign w:val="center"/>
            <w:hideMark/>
          </w:tcPr>
          <w:p w14:paraId="3603C374" w14:textId="77777777" w:rsidR="00DB78B0" w:rsidRPr="00D93421" w:rsidRDefault="00DB78B0" w:rsidP="00483E62">
            <w:pPr>
              <w:ind w:left="-30"/>
              <w:jc w:val="center"/>
              <w:rPr>
                <w:rFonts w:eastAsia="Times New Roman"/>
                <w:b/>
                <w:color w:val="000000"/>
                <w:sz w:val="14"/>
                <w:szCs w:val="14"/>
                <w:lang w:eastAsia="it-IT"/>
              </w:rPr>
            </w:pPr>
            <w:r w:rsidRPr="00D93421">
              <w:rPr>
                <w:rFonts w:eastAsia="Times New Roman"/>
                <w:b/>
                <w:color w:val="000000"/>
                <w:sz w:val="14"/>
                <w:szCs w:val="14"/>
                <w:lang w:eastAsia="it-IT"/>
              </w:rPr>
              <w:t>5</w:t>
            </w:r>
          </w:p>
        </w:tc>
        <w:tc>
          <w:tcPr>
            <w:tcW w:w="737" w:type="dxa"/>
            <w:tcBorders>
              <w:top w:val="single" w:sz="4" w:space="0" w:color="auto"/>
            </w:tcBorders>
            <w:shd w:val="clear" w:color="auto" w:fill="auto"/>
            <w:noWrap/>
            <w:vAlign w:val="center"/>
            <w:hideMark/>
          </w:tcPr>
          <w:p w14:paraId="496E1CA5"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15</w:t>
            </w:r>
          </w:p>
        </w:tc>
        <w:tc>
          <w:tcPr>
            <w:tcW w:w="737" w:type="dxa"/>
            <w:tcBorders>
              <w:top w:val="single" w:sz="4" w:space="0" w:color="auto"/>
            </w:tcBorders>
            <w:shd w:val="clear" w:color="auto" w:fill="auto"/>
            <w:noWrap/>
            <w:vAlign w:val="center"/>
            <w:hideMark/>
          </w:tcPr>
          <w:p w14:paraId="204DC82D" w14:textId="77777777" w:rsidR="00DB78B0" w:rsidRPr="00D93421" w:rsidRDefault="00DB78B0" w:rsidP="00483E62">
            <w:pPr>
              <w:ind w:left="-9"/>
              <w:jc w:val="center"/>
              <w:rPr>
                <w:rFonts w:eastAsia="Times New Roman"/>
                <w:b/>
                <w:color w:val="000000"/>
                <w:sz w:val="14"/>
                <w:szCs w:val="14"/>
                <w:lang w:eastAsia="it-IT"/>
              </w:rPr>
            </w:pPr>
            <w:r w:rsidRPr="00D93421">
              <w:rPr>
                <w:rFonts w:eastAsia="Times New Roman"/>
                <w:b/>
                <w:color w:val="000000"/>
                <w:sz w:val="14"/>
                <w:szCs w:val="14"/>
                <w:lang w:eastAsia="it-IT"/>
              </w:rPr>
              <w:t>30</w:t>
            </w:r>
          </w:p>
        </w:tc>
        <w:tc>
          <w:tcPr>
            <w:tcW w:w="737" w:type="dxa"/>
            <w:tcBorders>
              <w:top w:val="single" w:sz="4" w:space="0" w:color="auto"/>
            </w:tcBorders>
            <w:shd w:val="clear" w:color="auto" w:fill="auto"/>
            <w:noWrap/>
            <w:vAlign w:val="center"/>
            <w:hideMark/>
          </w:tcPr>
          <w:p w14:paraId="63051ED7"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45</w:t>
            </w:r>
          </w:p>
        </w:tc>
        <w:tc>
          <w:tcPr>
            <w:tcW w:w="737" w:type="dxa"/>
            <w:tcBorders>
              <w:top w:val="single" w:sz="4" w:space="0" w:color="auto"/>
            </w:tcBorders>
            <w:shd w:val="clear" w:color="auto" w:fill="auto"/>
            <w:noWrap/>
            <w:vAlign w:val="center"/>
            <w:hideMark/>
          </w:tcPr>
          <w:p w14:paraId="567D1CA9"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60</w:t>
            </w:r>
          </w:p>
        </w:tc>
        <w:tc>
          <w:tcPr>
            <w:tcW w:w="737" w:type="dxa"/>
            <w:tcBorders>
              <w:top w:val="single" w:sz="4" w:space="0" w:color="auto"/>
            </w:tcBorders>
            <w:shd w:val="clear" w:color="auto" w:fill="auto"/>
            <w:noWrap/>
            <w:vAlign w:val="center"/>
            <w:hideMark/>
          </w:tcPr>
          <w:p w14:paraId="18C15138"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120</w:t>
            </w:r>
          </w:p>
        </w:tc>
        <w:tc>
          <w:tcPr>
            <w:tcW w:w="737" w:type="dxa"/>
            <w:tcBorders>
              <w:top w:val="single" w:sz="4" w:space="0" w:color="auto"/>
            </w:tcBorders>
            <w:shd w:val="clear" w:color="auto" w:fill="auto"/>
            <w:noWrap/>
            <w:vAlign w:val="center"/>
            <w:hideMark/>
          </w:tcPr>
          <w:p w14:paraId="4B55924E" w14:textId="77777777" w:rsidR="00DB78B0" w:rsidRPr="00D93421" w:rsidRDefault="00DB78B0" w:rsidP="00483E62">
            <w:pPr>
              <w:jc w:val="center"/>
              <w:rPr>
                <w:rFonts w:eastAsia="Times New Roman"/>
                <w:b/>
                <w:color w:val="000000"/>
                <w:sz w:val="14"/>
                <w:szCs w:val="14"/>
                <w:lang w:eastAsia="it-IT"/>
              </w:rPr>
            </w:pPr>
            <w:r w:rsidRPr="00D93421">
              <w:rPr>
                <w:rFonts w:eastAsia="Times New Roman"/>
                <w:b/>
                <w:color w:val="000000"/>
                <w:sz w:val="14"/>
                <w:szCs w:val="14"/>
                <w:lang w:eastAsia="it-IT"/>
              </w:rPr>
              <w:t>180</w:t>
            </w:r>
          </w:p>
        </w:tc>
        <w:tc>
          <w:tcPr>
            <w:tcW w:w="737" w:type="dxa"/>
            <w:tcBorders>
              <w:top w:val="single" w:sz="4" w:space="0" w:color="auto"/>
            </w:tcBorders>
            <w:shd w:val="clear" w:color="auto" w:fill="auto"/>
            <w:noWrap/>
            <w:vAlign w:val="center"/>
            <w:hideMark/>
          </w:tcPr>
          <w:p w14:paraId="2CDAA6AF" w14:textId="77777777" w:rsidR="00DB78B0" w:rsidRPr="00D93421" w:rsidRDefault="00DB78B0" w:rsidP="00483E62">
            <w:pPr>
              <w:ind w:left="18"/>
              <w:jc w:val="center"/>
              <w:rPr>
                <w:rFonts w:eastAsia="Times New Roman"/>
                <w:b/>
                <w:color w:val="000000"/>
                <w:sz w:val="14"/>
                <w:szCs w:val="14"/>
                <w:lang w:eastAsia="it-IT"/>
              </w:rPr>
            </w:pPr>
            <w:r w:rsidRPr="00D93421">
              <w:rPr>
                <w:rFonts w:eastAsia="Times New Roman"/>
                <w:b/>
                <w:color w:val="000000"/>
                <w:sz w:val="14"/>
                <w:szCs w:val="14"/>
                <w:lang w:eastAsia="it-IT"/>
              </w:rPr>
              <w:t>240</w:t>
            </w:r>
          </w:p>
        </w:tc>
      </w:tr>
      <w:tr w:rsidR="009570AC" w:rsidRPr="009570AC" w14:paraId="5176D06B" w14:textId="77777777" w:rsidTr="00AB7FC9">
        <w:trPr>
          <w:trHeight w:val="300"/>
          <w:jc w:val="center"/>
        </w:trPr>
        <w:tc>
          <w:tcPr>
            <w:tcW w:w="1361" w:type="dxa"/>
            <w:tcBorders>
              <w:right w:val="single" w:sz="4" w:space="0" w:color="auto"/>
            </w:tcBorders>
            <w:shd w:val="clear" w:color="auto" w:fill="auto"/>
            <w:vAlign w:val="center"/>
            <w:hideMark/>
          </w:tcPr>
          <w:p w14:paraId="415B4833"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HR [beats/min]</w:t>
            </w:r>
          </w:p>
        </w:tc>
        <w:tc>
          <w:tcPr>
            <w:tcW w:w="737" w:type="dxa"/>
            <w:tcBorders>
              <w:left w:val="single" w:sz="4" w:space="0" w:color="auto"/>
            </w:tcBorders>
            <w:shd w:val="clear" w:color="auto" w:fill="auto"/>
            <w:noWrap/>
            <w:vAlign w:val="center"/>
            <w:hideMark/>
          </w:tcPr>
          <w:p w14:paraId="65EDAA8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113±17.9</w:t>
            </w:r>
          </w:p>
        </w:tc>
        <w:tc>
          <w:tcPr>
            <w:tcW w:w="737" w:type="dxa"/>
            <w:shd w:val="clear" w:color="auto" w:fill="auto"/>
            <w:noWrap/>
            <w:vAlign w:val="center"/>
            <w:hideMark/>
          </w:tcPr>
          <w:p w14:paraId="69B52E9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112 ±21.2</w:t>
            </w:r>
          </w:p>
        </w:tc>
        <w:tc>
          <w:tcPr>
            <w:tcW w:w="737" w:type="dxa"/>
            <w:shd w:val="clear" w:color="auto" w:fill="auto"/>
            <w:noWrap/>
            <w:vAlign w:val="center"/>
            <w:hideMark/>
          </w:tcPr>
          <w:p w14:paraId="66C8BC8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116±18.2</w:t>
            </w:r>
          </w:p>
        </w:tc>
        <w:tc>
          <w:tcPr>
            <w:tcW w:w="737" w:type="dxa"/>
            <w:shd w:val="clear" w:color="auto" w:fill="auto"/>
            <w:noWrap/>
            <w:vAlign w:val="center"/>
            <w:hideMark/>
          </w:tcPr>
          <w:p w14:paraId="3DF676CB" w14:textId="77777777" w:rsidR="00367616" w:rsidRPr="009570AC" w:rsidRDefault="00367616" w:rsidP="009570AC">
            <w:pPr>
              <w:ind w:left="-39"/>
              <w:jc w:val="center"/>
              <w:rPr>
                <w:rFonts w:eastAsia="Times New Roman"/>
                <w:color w:val="000000"/>
                <w:sz w:val="14"/>
                <w:szCs w:val="14"/>
                <w:lang w:eastAsia="it-IT"/>
              </w:rPr>
            </w:pPr>
            <w:r w:rsidRPr="009570AC">
              <w:rPr>
                <w:rFonts w:eastAsia="Times New Roman"/>
                <w:color w:val="000000"/>
                <w:sz w:val="14"/>
                <w:szCs w:val="14"/>
                <w:lang w:eastAsia="it-IT"/>
              </w:rPr>
              <w:t>120±21.1</w:t>
            </w:r>
          </w:p>
        </w:tc>
        <w:tc>
          <w:tcPr>
            <w:tcW w:w="737" w:type="dxa"/>
            <w:shd w:val="clear" w:color="auto" w:fill="auto"/>
            <w:noWrap/>
            <w:vAlign w:val="center"/>
            <w:hideMark/>
          </w:tcPr>
          <w:p w14:paraId="3338101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120±22.1</w:t>
            </w:r>
          </w:p>
        </w:tc>
        <w:tc>
          <w:tcPr>
            <w:tcW w:w="737" w:type="dxa"/>
            <w:shd w:val="clear" w:color="auto" w:fill="auto"/>
            <w:noWrap/>
            <w:vAlign w:val="center"/>
            <w:hideMark/>
          </w:tcPr>
          <w:p w14:paraId="08CEA4C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127±23.2</w:t>
            </w:r>
          </w:p>
        </w:tc>
        <w:tc>
          <w:tcPr>
            <w:tcW w:w="737" w:type="dxa"/>
            <w:shd w:val="clear" w:color="auto" w:fill="auto"/>
            <w:noWrap/>
            <w:vAlign w:val="center"/>
            <w:hideMark/>
          </w:tcPr>
          <w:p w14:paraId="7A94B01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121±9.9</w:t>
            </w:r>
          </w:p>
        </w:tc>
        <w:tc>
          <w:tcPr>
            <w:tcW w:w="737" w:type="dxa"/>
            <w:shd w:val="clear" w:color="auto" w:fill="auto"/>
            <w:noWrap/>
            <w:vAlign w:val="center"/>
            <w:hideMark/>
          </w:tcPr>
          <w:p w14:paraId="3533A8D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118±10.0</w:t>
            </w:r>
          </w:p>
        </w:tc>
        <w:tc>
          <w:tcPr>
            <w:tcW w:w="737" w:type="dxa"/>
            <w:tcBorders>
              <w:right w:val="single" w:sz="4" w:space="0" w:color="auto"/>
            </w:tcBorders>
            <w:shd w:val="clear" w:color="auto" w:fill="auto"/>
            <w:noWrap/>
            <w:vAlign w:val="center"/>
            <w:hideMark/>
          </w:tcPr>
          <w:p w14:paraId="19DFFA3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115±15.2</w:t>
            </w:r>
          </w:p>
        </w:tc>
        <w:tc>
          <w:tcPr>
            <w:tcW w:w="737" w:type="dxa"/>
            <w:tcBorders>
              <w:left w:val="single" w:sz="4" w:space="0" w:color="auto"/>
            </w:tcBorders>
            <w:shd w:val="clear" w:color="auto" w:fill="auto"/>
            <w:noWrap/>
            <w:vAlign w:val="center"/>
            <w:hideMark/>
          </w:tcPr>
          <w:p w14:paraId="408F1B33"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116±14.0</w:t>
            </w:r>
          </w:p>
        </w:tc>
        <w:tc>
          <w:tcPr>
            <w:tcW w:w="737" w:type="dxa"/>
            <w:shd w:val="clear" w:color="auto" w:fill="auto"/>
            <w:noWrap/>
            <w:vAlign w:val="center"/>
            <w:hideMark/>
          </w:tcPr>
          <w:p w14:paraId="4D1339BC"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121±10.9</w:t>
            </w:r>
          </w:p>
        </w:tc>
        <w:tc>
          <w:tcPr>
            <w:tcW w:w="737" w:type="dxa"/>
            <w:shd w:val="clear" w:color="auto" w:fill="auto"/>
            <w:noWrap/>
            <w:vAlign w:val="center"/>
            <w:hideMark/>
          </w:tcPr>
          <w:p w14:paraId="759AC2B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125±8.4</w:t>
            </w:r>
          </w:p>
        </w:tc>
        <w:tc>
          <w:tcPr>
            <w:tcW w:w="737" w:type="dxa"/>
            <w:shd w:val="clear" w:color="auto" w:fill="auto"/>
            <w:noWrap/>
            <w:vAlign w:val="center"/>
            <w:hideMark/>
          </w:tcPr>
          <w:p w14:paraId="4D2C5253"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130±8.5</w:t>
            </w:r>
          </w:p>
        </w:tc>
        <w:tc>
          <w:tcPr>
            <w:tcW w:w="737" w:type="dxa"/>
            <w:shd w:val="clear" w:color="auto" w:fill="auto"/>
            <w:noWrap/>
            <w:vAlign w:val="center"/>
            <w:hideMark/>
          </w:tcPr>
          <w:p w14:paraId="385F196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136±11.9</w:t>
            </w:r>
          </w:p>
        </w:tc>
        <w:tc>
          <w:tcPr>
            <w:tcW w:w="737" w:type="dxa"/>
            <w:shd w:val="clear" w:color="auto" w:fill="auto"/>
            <w:noWrap/>
            <w:vAlign w:val="center"/>
            <w:hideMark/>
          </w:tcPr>
          <w:p w14:paraId="335DBFA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133±4.6</w:t>
            </w:r>
          </w:p>
        </w:tc>
        <w:tc>
          <w:tcPr>
            <w:tcW w:w="737" w:type="dxa"/>
            <w:shd w:val="clear" w:color="auto" w:fill="auto"/>
            <w:noWrap/>
            <w:vAlign w:val="center"/>
            <w:hideMark/>
          </w:tcPr>
          <w:p w14:paraId="2E8D8D6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127±14.5</w:t>
            </w:r>
          </w:p>
        </w:tc>
        <w:tc>
          <w:tcPr>
            <w:tcW w:w="737" w:type="dxa"/>
            <w:shd w:val="clear" w:color="auto" w:fill="auto"/>
            <w:noWrap/>
            <w:vAlign w:val="center"/>
            <w:hideMark/>
          </w:tcPr>
          <w:p w14:paraId="07779E2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120±20.7</w:t>
            </w:r>
          </w:p>
        </w:tc>
        <w:tc>
          <w:tcPr>
            <w:tcW w:w="737" w:type="dxa"/>
            <w:shd w:val="clear" w:color="auto" w:fill="auto"/>
            <w:noWrap/>
            <w:vAlign w:val="center"/>
            <w:hideMark/>
          </w:tcPr>
          <w:p w14:paraId="12FB65A3"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126±24.8</w:t>
            </w:r>
          </w:p>
        </w:tc>
      </w:tr>
      <w:tr w:rsidR="009570AC" w:rsidRPr="009570AC" w14:paraId="3F7C7EA3" w14:textId="77777777" w:rsidTr="00AB7FC9">
        <w:trPr>
          <w:trHeight w:val="300"/>
          <w:jc w:val="center"/>
        </w:trPr>
        <w:tc>
          <w:tcPr>
            <w:tcW w:w="1361" w:type="dxa"/>
            <w:tcBorders>
              <w:right w:val="single" w:sz="4" w:space="0" w:color="auto"/>
            </w:tcBorders>
            <w:shd w:val="clear" w:color="auto" w:fill="auto"/>
            <w:vAlign w:val="center"/>
            <w:hideMark/>
          </w:tcPr>
          <w:p w14:paraId="5626672C"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SAP [mmHg]</w:t>
            </w:r>
          </w:p>
        </w:tc>
        <w:tc>
          <w:tcPr>
            <w:tcW w:w="737" w:type="dxa"/>
            <w:tcBorders>
              <w:left w:val="single" w:sz="4" w:space="0" w:color="auto"/>
            </w:tcBorders>
            <w:shd w:val="clear" w:color="auto" w:fill="auto"/>
            <w:noWrap/>
            <w:vAlign w:val="center"/>
            <w:hideMark/>
          </w:tcPr>
          <w:p w14:paraId="1A50D5B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107±8.9</w:t>
            </w:r>
          </w:p>
        </w:tc>
        <w:tc>
          <w:tcPr>
            <w:tcW w:w="737" w:type="dxa"/>
            <w:shd w:val="clear" w:color="auto" w:fill="auto"/>
            <w:noWrap/>
            <w:vAlign w:val="center"/>
            <w:hideMark/>
          </w:tcPr>
          <w:p w14:paraId="2A23489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97±21.8</w:t>
            </w:r>
          </w:p>
        </w:tc>
        <w:tc>
          <w:tcPr>
            <w:tcW w:w="737" w:type="dxa"/>
            <w:shd w:val="clear" w:color="auto" w:fill="auto"/>
            <w:noWrap/>
            <w:vAlign w:val="center"/>
            <w:hideMark/>
          </w:tcPr>
          <w:p w14:paraId="26A569E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109±21.1</w:t>
            </w:r>
          </w:p>
        </w:tc>
        <w:tc>
          <w:tcPr>
            <w:tcW w:w="737" w:type="dxa"/>
            <w:shd w:val="clear" w:color="auto" w:fill="auto"/>
            <w:noWrap/>
            <w:vAlign w:val="center"/>
            <w:hideMark/>
          </w:tcPr>
          <w:p w14:paraId="32DDA076"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116±20.5</w:t>
            </w:r>
          </w:p>
        </w:tc>
        <w:tc>
          <w:tcPr>
            <w:tcW w:w="737" w:type="dxa"/>
            <w:shd w:val="clear" w:color="auto" w:fill="auto"/>
            <w:noWrap/>
            <w:vAlign w:val="center"/>
            <w:hideMark/>
          </w:tcPr>
          <w:p w14:paraId="7B618FE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116±18.3</w:t>
            </w:r>
          </w:p>
        </w:tc>
        <w:tc>
          <w:tcPr>
            <w:tcW w:w="737" w:type="dxa"/>
            <w:shd w:val="clear" w:color="auto" w:fill="auto"/>
            <w:noWrap/>
            <w:vAlign w:val="center"/>
            <w:hideMark/>
          </w:tcPr>
          <w:p w14:paraId="68DA843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115±19.8</w:t>
            </w:r>
          </w:p>
        </w:tc>
        <w:tc>
          <w:tcPr>
            <w:tcW w:w="737" w:type="dxa"/>
            <w:shd w:val="clear" w:color="auto" w:fill="auto"/>
            <w:noWrap/>
            <w:vAlign w:val="center"/>
            <w:hideMark/>
          </w:tcPr>
          <w:p w14:paraId="220FBA4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116±16.0</w:t>
            </w:r>
          </w:p>
        </w:tc>
        <w:tc>
          <w:tcPr>
            <w:tcW w:w="737" w:type="dxa"/>
            <w:shd w:val="clear" w:color="auto" w:fill="auto"/>
            <w:noWrap/>
            <w:vAlign w:val="center"/>
            <w:hideMark/>
          </w:tcPr>
          <w:p w14:paraId="50691BE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116±20.9</w:t>
            </w:r>
          </w:p>
        </w:tc>
        <w:tc>
          <w:tcPr>
            <w:tcW w:w="737" w:type="dxa"/>
            <w:tcBorders>
              <w:right w:val="single" w:sz="4" w:space="0" w:color="auto"/>
            </w:tcBorders>
            <w:shd w:val="clear" w:color="auto" w:fill="auto"/>
            <w:noWrap/>
            <w:vAlign w:val="center"/>
            <w:hideMark/>
          </w:tcPr>
          <w:p w14:paraId="6B5FD03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106±9.1</w:t>
            </w:r>
          </w:p>
        </w:tc>
        <w:tc>
          <w:tcPr>
            <w:tcW w:w="737" w:type="dxa"/>
            <w:tcBorders>
              <w:left w:val="single" w:sz="4" w:space="0" w:color="auto"/>
            </w:tcBorders>
            <w:shd w:val="clear" w:color="auto" w:fill="auto"/>
            <w:noWrap/>
            <w:vAlign w:val="center"/>
            <w:hideMark/>
          </w:tcPr>
          <w:p w14:paraId="55C3DEBE"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115±27.7</w:t>
            </w:r>
          </w:p>
        </w:tc>
        <w:tc>
          <w:tcPr>
            <w:tcW w:w="737" w:type="dxa"/>
            <w:shd w:val="clear" w:color="auto" w:fill="auto"/>
            <w:noWrap/>
            <w:vAlign w:val="center"/>
            <w:hideMark/>
          </w:tcPr>
          <w:p w14:paraId="5644F62A"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108±25.8</w:t>
            </w:r>
          </w:p>
        </w:tc>
        <w:tc>
          <w:tcPr>
            <w:tcW w:w="737" w:type="dxa"/>
            <w:shd w:val="clear" w:color="auto" w:fill="auto"/>
            <w:noWrap/>
            <w:vAlign w:val="center"/>
            <w:hideMark/>
          </w:tcPr>
          <w:p w14:paraId="2EA48C9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114±17.7</w:t>
            </w:r>
          </w:p>
        </w:tc>
        <w:tc>
          <w:tcPr>
            <w:tcW w:w="737" w:type="dxa"/>
            <w:shd w:val="clear" w:color="auto" w:fill="auto"/>
            <w:noWrap/>
            <w:vAlign w:val="center"/>
            <w:hideMark/>
          </w:tcPr>
          <w:p w14:paraId="79B33754"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112±15.0</w:t>
            </w:r>
          </w:p>
        </w:tc>
        <w:tc>
          <w:tcPr>
            <w:tcW w:w="737" w:type="dxa"/>
            <w:shd w:val="clear" w:color="auto" w:fill="auto"/>
            <w:noWrap/>
            <w:vAlign w:val="center"/>
            <w:hideMark/>
          </w:tcPr>
          <w:p w14:paraId="6B5E789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120±20.3</w:t>
            </w:r>
          </w:p>
        </w:tc>
        <w:tc>
          <w:tcPr>
            <w:tcW w:w="737" w:type="dxa"/>
            <w:shd w:val="clear" w:color="auto" w:fill="auto"/>
            <w:noWrap/>
            <w:vAlign w:val="center"/>
            <w:hideMark/>
          </w:tcPr>
          <w:p w14:paraId="22461CD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115±20.0</w:t>
            </w:r>
          </w:p>
        </w:tc>
        <w:tc>
          <w:tcPr>
            <w:tcW w:w="737" w:type="dxa"/>
            <w:shd w:val="clear" w:color="auto" w:fill="auto"/>
            <w:noWrap/>
            <w:vAlign w:val="center"/>
            <w:hideMark/>
          </w:tcPr>
          <w:p w14:paraId="76CD3D0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108±20.4</w:t>
            </w:r>
          </w:p>
        </w:tc>
        <w:tc>
          <w:tcPr>
            <w:tcW w:w="737" w:type="dxa"/>
            <w:shd w:val="clear" w:color="auto" w:fill="auto"/>
            <w:noWrap/>
            <w:vAlign w:val="center"/>
            <w:hideMark/>
          </w:tcPr>
          <w:p w14:paraId="3AABC02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108±19.5</w:t>
            </w:r>
          </w:p>
        </w:tc>
        <w:tc>
          <w:tcPr>
            <w:tcW w:w="737" w:type="dxa"/>
            <w:shd w:val="clear" w:color="auto" w:fill="auto"/>
            <w:noWrap/>
            <w:vAlign w:val="center"/>
            <w:hideMark/>
          </w:tcPr>
          <w:p w14:paraId="69F6E357"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109±19.3</w:t>
            </w:r>
          </w:p>
        </w:tc>
      </w:tr>
      <w:tr w:rsidR="009570AC" w:rsidRPr="009570AC" w14:paraId="71E05622" w14:textId="77777777" w:rsidTr="00AB7FC9">
        <w:trPr>
          <w:trHeight w:val="300"/>
          <w:jc w:val="center"/>
        </w:trPr>
        <w:tc>
          <w:tcPr>
            <w:tcW w:w="1361" w:type="dxa"/>
            <w:tcBorders>
              <w:right w:val="single" w:sz="4" w:space="0" w:color="auto"/>
            </w:tcBorders>
            <w:shd w:val="clear" w:color="auto" w:fill="auto"/>
            <w:vAlign w:val="center"/>
            <w:hideMark/>
          </w:tcPr>
          <w:p w14:paraId="2612FAA0"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DAP [mmHg]</w:t>
            </w:r>
          </w:p>
        </w:tc>
        <w:tc>
          <w:tcPr>
            <w:tcW w:w="737" w:type="dxa"/>
            <w:tcBorders>
              <w:left w:val="single" w:sz="4" w:space="0" w:color="auto"/>
            </w:tcBorders>
            <w:shd w:val="clear" w:color="auto" w:fill="auto"/>
            <w:noWrap/>
            <w:vAlign w:val="center"/>
            <w:hideMark/>
          </w:tcPr>
          <w:p w14:paraId="4125839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73±8.0</w:t>
            </w:r>
          </w:p>
        </w:tc>
        <w:tc>
          <w:tcPr>
            <w:tcW w:w="737" w:type="dxa"/>
            <w:shd w:val="clear" w:color="auto" w:fill="auto"/>
            <w:noWrap/>
            <w:vAlign w:val="center"/>
            <w:hideMark/>
          </w:tcPr>
          <w:p w14:paraId="573561C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63±17.0</w:t>
            </w:r>
          </w:p>
        </w:tc>
        <w:tc>
          <w:tcPr>
            <w:tcW w:w="737" w:type="dxa"/>
            <w:shd w:val="clear" w:color="auto" w:fill="auto"/>
            <w:noWrap/>
            <w:vAlign w:val="center"/>
            <w:hideMark/>
          </w:tcPr>
          <w:p w14:paraId="35F45AF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70±17.0</w:t>
            </w:r>
          </w:p>
        </w:tc>
        <w:tc>
          <w:tcPr>
            <w:tcW w:w="737" w:type="dxa"/>
            <w:shd w:val="clear" w:color="auto" w:fill="auto"/>
            <w:noWrap/>
            <w:vAlign w:val="center"/>
            <w:hideMark/>
          </w:tcPr>
          <w:p w14:paraId="7A53A45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75±16.7</w:t>
            </w:r>
          </w:p>
        </w:tc>
        <w:tc>
          <w:tcPr>
            <w:tcW w:w="737" w:type="dxa"/>
            <w:shd w:val="clear" w:color="auto" w:fill="auto"/>
            <w:noWrap/>
            <w:vAlign w:val="center"/>
            <w:hideMark/>
          </w:tcPr>
          <w:p w14:paraId="75D507F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74±14.7</w:t>
            </w:r>
          </w:p>
        </w:tc>
        <w:tc>
          <w:tcPr>
            <w:tcW w:w="737" w:type="dxa"/>
            <w:shd w:val="clear" w:color="auto" w:fill="auto"/>
            <w:noWrap/>
            <w:vAlign w:val="center"/>
            <w:hideMark/>
          </w:tcPr>
          <w:p w14:paraId="08A0089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76±17.4</w:t>
            </w:r>
          </w:p>
        </w:tc>
        <w:tc>
          <w:tcPr>
            <w:tcW w:w="737" w:type="dxa"/>
            <w:shd w:val="clear" w:color="auto" w:fill="auto"/>
            <w:noWrap/>
            <w:vAlign w:val="center"/>
            <w:hideMark/>
          </w:tcPr>
          <w:p w14:paraId="7E77668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77±12.0</w:t>
            </w:r>
          </w:p>
        </w:tc>
        <w:tc>
          <w:tcPr>
            <w:tcW w:w="737" w:type="dxa"/>
            <w:shd w:val="clear" w:color="auto" w:fill="auto"/>
            <w:noWrap/>
            <w:vAlign w:val="center"/>
            <w:hideMark/>
          </w:tcPr>
          <w:p w14:paraId="45A5D7D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74±12.6</w:t>
            </w:r>
          </w:p>
        </w:tc>
        <w:tc>
          <w:tcPr>
            <w:tcW w:w="737" w:type="dxa"/>
            <w:tcBorders>
              <w:right w:val="single" w:sz="4" w:space="0" w:color="auto"/>
            </w:tcBorders>
            <w:shd w:val="clear" w:color="auto" w:fill="auto"/>
            <w:noWrap/>
            <w:vAlign w:val="center"/>
            <w:hideMark/>
          </w:tcPr>
          <w:p w14:paraId="0655F19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68±7.5</w:t>
            </w:r>
          </w:p>
        </w:tc>
        <w:tc>
          <w:tcPr>
            <w:tcW w:w="737" w:type="dxa"/>
            <w:tcBorders>
              <w:left w:val="single" w:sz="4" w:space="0" w:color="auto"/>
            </w:tcBorders>
            <w:shd w:val="clear" w:color="auto" w:fill="auto"/>
            <w:noWrap/>
            <w:vAlign w:val="center"/>
            <w:hideMark/>
          </w:tcPr>
          <w:p w14:paraId="2A227803"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76±16.0</w:t>
            </w:r>
          </w:p>
        </w:tc>
        <w:tc>
          <w:tcPr>
            <w:tcW w:w="737" w:type="dxa"/>
            <w:shd w:val="clear" w:color="auto" w:fill="auto"/>
            <w:noWrap/>
            <w:vAlign w:val="center"/>
            <w:hideMark/>
          </w:tcPr>
          <w:p w14:paraId="0762E77B"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71±14.7</w:t>
            </w:r>
          </w:p>
        </w:tc>
        <w:tc>
          <w:tcPr>
            <w:tcW w:w="737" w:type="dxa"/>
            <w:shd w:val="clear" w:color="auto" w:fill="auto"/>
            <w:noWrap/>
            <w:vAlign w:val="center"/>
            <w:hideMark/>
          </w:tcPr>
          <w:p w14:paraId="78570BB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78±13.4</w:t>
            </w:r>
          </w:p>
        </w:tc>
        <w:tc>
          <w:tcPr>
            <w:tcW w:w="737" w:type="dxa"/>
            <w:shd w:val="clear" w:color="auto" w:fill="auto"/>
            <w:noWrap/>
            <w:vAlign w:val="center"/>
            <w:hideMark/>
          </w:tcPr>
          <w:p w14:paraId="3E6A1206"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76±9.2</w:t>
            </w:r>
          </w:p>
        </w:tc>
        <w:tc>
          <w:tcPr>
            <w:tcW w:w="737" w:type="dxa"/>
            <w:shd w:val="clear" w:color="auto" w:fill="auto"/>
            <w:noWrap/>
            <w:vAlign w:val="center"/>
            <w:hideMark/>
          </w:tcPr>
          <w:p w14:paraId="06424B3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82±12.3</w:t>
            </w:r>
          </w:p>
        </w:tc>
        <w:tc>
          <w:tcPr>
            <w:tcW w:w="737" w:type="dxa"/>
            <w:shd w:val="clear" w:color="auto" w:fill="auto"/>
            <w:noWrap/>
            <w:vAlign w:val="center"/>
            <w:hideMark/>
          </w:tcPr>
          <w:p w14:paraId="384C716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77±7.5</w:t>
            </w:r>
          </w:p>
        </w:tc>
        <w:tc>
          <w:tcPr>
            <w:tcW w:w="737" w:type="dxa"/>
            <w:shd w:val="clear" w:color="auto" w:fill="auto"/>
            <w:noWrap/>
            <w:vAlign w:val="center"/>
            <w:hideMark/>
          </w:tcPr>
          <w:p w14:paraId="67A7FA0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71±11.5</w:t>
            </w:r>
          </w:p>
        </w:tc>
        <w:tc>
          <w:tcPr>
            <w:tcW w:w="737" w:type="dxa"/>
            <w:shd w:val="clear" w:color="auto" w:fill="auto"/>
            <w:noWrap/>
            <w:vAlign w:val="center"/>
            <w:hideMark/>
          </w:tcPr>
          <w:p w14:paraId="323098F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70±11.2</w:t>
            </w:r>
          </w:p>
        </w:tc>
        <w:tc>
          <w:tcPr>
            <w:tcW w:w="737" w:type="dxa"/>
            <w:shd w:val="clear" w:color="auto" w:fill="auto"/>
            <w:noWrap/>
            <w:vAlign w:val="center"/>
            <w:hideMark/>
          </w:tcPr>
          <w:p w14:paraId="0D6835B0"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70±9.7</w:t>
            </w:r>
          </w:p>
        </w:tc>
      </w:tr>
      <w:tr w:rsidR="009570AC" w:rsidRPr="009570AC" w14:paraId="5A0C5153" w14:textId="77777777" w:rsidTr="00AB7FC9">
        <w:trPr>
          <w:trHeight w:val="300"/>
          <w:jc w:val="center"/>
        </w:trPr>
        <w:tc>
          <w:tcPr>
            <w:tcW w:w="1361" w:type="dxa"/>
            <w:tcBorders>
              <w:right w:val="single" w:sz="4" w:space="0" w:color="auto"/>
            </w:tcBorders>
            <w:shd w:val="clear" w:color="auto" w:fill="auto"/>
            <w:vAlign w:val="center"/>
            <w:hideMark/>
          </w:tcPr>
          <w:p w14:paraId="46555535"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MAP [mmHg]</w:t>
            </w:r>
          </w:p>
        </w:tc>
        <w:tc>
          <w:tcPr>
            <w:tcW w:w="737" w:type="dxa"/>
            <w:tcBorders>
              <w:left w:val="single" w:sz="4" w:space="0" w:color="auto"/>
            </w:tcBorders>
            <w:shd w:val="clear" w:color="auto" w:fill="auto"/>
            <w:noWrap/>
            <w:vAlign w:val="center"/>
            <w:hideMark/>
          </w:tcPr>
          <w:p w14:paraId="52B299A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83±7.7</w:t>
            </w:r>
          </w:p>
        </w:tc>
        <w:tc>
          <w:tcPr>
            <w:tcW w:w="737" w:type="dxa"/>
            <w:shd w:val="clear" w:color="auto" w:fill="auto"/>
            <w:noWrap/>
            <w:vAlign w:val="center"/>
            <w:hideMark/>
          </w:tcPr>
          <w:p w14:paraId="28BDC63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76±19.1</w:t>
            </w:r>
          </w:p>
        </w:tc>
        <w:tc>
          <w:tcPr>
            <w:tcW w:w="737" w:type="dxa"/>
            <w:shd w:val="clear" w:color="auto" w:fill="auto"/>
            <w:noWrap/>
            <w:vAlign w:val="center"/>
            <w:hideMark/>
          </w:tcPr>
          <w:p w14:paraId="1369A29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83±19.3</w:t>
            </w:r>
          </w:p>
        </w:tc>
        <w:tc>
          <w:tcPr>
            <w:tcW w:w="737" w:type="dxa"/>
            <w:shd w:val="clear" w:color="auto" w:fill="auto"/>
            <w:noWrap/>
            <w:vAlign w:val="center"/>
            <w:hideMark/>
          </w:tcPr>
          <w:p w14:paraId="5690463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91±19.3</w:t>
            </w:r>
          </w:p>
        </w:tc>
        <w:tc>
          <w:tcPr>
            <w:tcW w:w="737" w:type="dxa"/>
            <w:shd w:val="clear" w:color="auto" w:fill="auto"/>
            <w:noWrap/>
            <w:vAlign w:val="center"/>
            <w:hideMark/>
          </w:tcPr>
          <w:p w14:paraId="77E1818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90±16.1</w:t>
            </w:r>
          </w:p>
        </w:tc>
        <w:tc>
          <w:tcPr>
            <w:tcW w:w="737" w:type="dxa"/>
            <w:shd w:val="clear" w:color="auto" w:fill="auto"/>
            <w:noWrap/>
            <w:vAlign w:val="center"/>
            <w:hideMark/>
          </w:tcPr>
          <w:p w14:paraId="21329C3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91±18.4</w:t>
            </w:r>
          </w:p>
        </w:tc>
        <w:tc>
          <w:tcPr>
            <w:tcW w:w="737" w:type="dxa"/>
            <w:shd w:val="clear" w:color="auto" w:fill="auto"/>
            <w:noWrap/>
            <w:vAlign w:val="center"/>
            <w:hideMark/>
          </w:tcPr>
          <w:p w14:paraId="2DA0B09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92±13.5</w:t>
            </w:r>
          </w:p>
        </w:tc>
        <w:tc>
          <w:tcPr>
            <w:tcW w:w="737" w:type="dxa"/>
            <w:shd w:val="clear" w:color="auto" w:fill="auto"/>
            <w:noWrap/>
            <w:vAlign w:val="center"/>
            <w:hideMark/>
          </w:tcPr>
          <w:p w14:paraId="08A3884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90±15.6</w:t>
            </w:r>
          </w:p>
        </w:tc>
        <w:tc>
          <w:tcPr>
            <w:tcW w:w="737" w:type="dxa"/>
            <w:tcBorders>
              <w:right w:val="single" w:sz="4" w:space="0" w:color="auto"/>
            </w:tcBorders>
            <w:shd w:val="clear" w:color="auto" w:fill="auto"/>
            <w:noWrap/>
            <w:vAlign w:val="center"/>
            <w:hideMark/>
          </w:tcPr>
          <w:p w14:paraId="04B06D4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85±7.3</w:t>
            </w:r>
          </w:p>
        </w:tc>
        <w:tc>
          <w:tcPr>
            <w:tcW w:w="737" w:type="dxa"/>
            <w:tcBorders>
              <w:left w:val="single" w:sz="4" w:space="0" w:color="auto"/>
            </w:tcBorders>
            <w:shd w:val="clear" w:color="auto" w:fill="auto"/>
            <w:noWrap/>
            <w:vAlign w:val="center"/>
            <w:hideMark/>
          </w:tcPr>
          <w:p w14:paraId="7F5C1F71"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90±19.2</w:t>
            </w:r>
          </w:p>
        </w:tc>
        <w:tc>
          <w:tcPr>
            <w:tcW w:w="737" w:type="dxa"/>
            <w:shd w:val="clear" w:color="auto" w:fill="auto"/>
            <w:noWrap/>
            <w:vAlign w:val="center"/>
            <w:hideMark/>
          </w:tcPr>
          <w:p w14:paraId="0C2F212C"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85±17.4</w:t>
            </w:r>
          </w:p>
        </w:tc>
        <w:tc>
          <w:tcPr>
            <w:tcW w:w="737" w:type="dxa"/>
            <w:shd w:val="clear" w:color="auto" w:fill="auto"/>
            <w:noWrap/>
            <w:vAlign w:val="center"/>
            <w:hideMark/>
          </w:tcPr>
          <w:p w14:paraId="071856D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92±14.1</w:t>
            </w:r>
          </w:p>
        </w:tc>
        <w:tc>
          <w:tcPr>
            <w:tcW w:w="737" w:type="dxa"/>
            <w:shd w:val="clear" w:color="auto" w:fill="auto"/>
            <w:noWrap/>
            <w:vAlign w:val="center"/>
            <w:hideMark/>
          </w:tcPr>
          <w:p w14:paraId="4BC88FB5"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89±11.6</w:t>
            </w:r>
          </w:p>
        </w:tc>
        <w:tc>
          <w:tcPr>
            <w:tcW w:w="737" w:type="dxa"/>
            <w:shd w:val="clear" w:color="auto" w:fill="auto"/>
            <w:noWrap/>
            <w:vAlign w:val="center"/>
            <w:hideMark/>
          </w:tcPr>
          <w:p w14:paraId="683DFA8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95±14.7</w:t>
            </w:r>
          </w:p>
        </w:tc>
        <w:tc>
          <w:tcPr>
            <w:tcW w:w="737" w:type="dxa"/>
            <w:shd w:val="clear" w:color="auto" w:fill="auto"/>
            <w:noWrap/>
            <w:vAlign w:val="center"/>
            <w:hideMark/>
          </w:tcPr>
          <w:p w14:paraId="2CC0FCD6"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91±9.7</w:t>
            </w:r>
          </w:p>
        </w:tc>
        <w:tc>
          <w:tcPr>
            <w:tcW w:w="737" w:type="dxa"/>
            <w:shd w:val="clear" w:color="auto" w:fill="auto"/>
            <w:noWrap/>
            <w:vAlign w:val="center"/>
            <w:hideMark/>
          </w:tcPr>
          <w:p w14:paraId="02B077E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85±15.2</w:t>
            </w:r>
          </w:p>
        </w:tc>
        <w:tc>
          <w:tcPr>
            <w:tcW w:w="737" w:type="dxa"/>
            <w:shd w:val="clear" w:color="auto" w:fill="auto"/>
            <w:noWrap/>
            <w:vAlign w:val="center"/>
            <w:hideMark/>
          </w:tcPr>
          <w:p w14:paraId="46F3E04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84±14.5</w:t>
            </w:r>
          </w:p>
        </w:tc>
        <w:tc>
          <w:tcPr>
            <w:tcW w:w="737" w:type="dxa"/>
            <w:shd w:val="clear" w:color="auto" w:fill="auto"/>
            <w:noWrap/>
            <w:vAlign w:val="center"/>
            <w:hideMark/>
          </w:tcPr>
          <w:p w14:paraId="14F0196E"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83±11.3</w:t>
            </w:r>
          </w:p>
        </w:tc>
      </w:tr>
      <w:tr w:rsidR="009570AC" w:rsidRPr="009570AC" w14:paraId="46F8C7CE" w14:textId="77777777" w:rsidTr="00AB7FC9">
        <w:trPr>
          <w:trHeight w:val="300"/>
          <w:jc w:val="center"/>
        </w:trPr>
        <w:tc>
          <w:tcPr>
            <w:tcW w:w="1361" w:type="dxa"/>
            <w:tcBorders>
              <w:right w:val="single" w:sz="4" w:space="0" w:color="auto"/>
            </w:tcBorders>
            <w:shd w:val="clear" w:color="auto" w:fill="auto"/>
            <w:vAlign w:val="center"/>
          </w:tcPr>
          <w:p w14:paraId="2598B81E"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CO [L/min]</w:t>
            </w:r>
          </w:p>
        </w:tc>
        <w:tc>
          <w:tcPr>
            <w:tcW w:w="737" w:type="dxa"/>
            <w:tcBorders>
              <w:left w:val="single" w:sz="4" w:space="0" w:color="auto"/>
            </w:tcBorders>
            <w:shd w:val="clear" w:color="auto" w:fill="auto"/>
            <w:noWrap/>
            <w:vAlign w:val="center"/>
          </w:tcPr>
          <w:p w14:paraId="6EDC1E0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2.93±0.52</w:t>
            </w:r>
          </w:p>
        </w:tc>
        <w:tc>
          <w:tcPr>
            <w:tcW w:w="737" w:type="dxa"/>
            <w:shd w:val="clear" w:color="auto" w:fill="auto"/>
            <w:noWrap/>
            <w:vAlign w:val="center"/>
          </w:tcPr>
          <w:p w14:paraId="0D77F4A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2.79±0.71</w:t>
            </w:r>
          </w:p>
        </w:tc>
        <w:tc>
          <w:tcPr>
            <w:tcW w:w="737" w:type="dxa"/>
            <w:shd w:val="clear" w:color="auto" w:fill="auto"/>
            <w:noWrap/>
            <w:vAlign w:val="center"/>
          </w:tcPr>
          <w:p w14:paraId="4DF1F19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3.01±0.66</w:t>
            </w:r>
          </w:p>
        </w:tc>
        <w:tc>
          <w:tcPr>
            <w:tcW w:w="737" w:type="dxa"/>
            <w:shd w:val="clear" w:color="auto" w:fill="auto"/>
            <w:noWrap/>
            <w:vAlign w:val="center"/>
          </w:tcPr>
          <w:p w14:paraId="55CE849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3.15±0.6</w:t>
            </w:r>
          </w:p>
        </w:tc>
        <w:tc>
          <w:tcPr>
            <w:tcW w:w="737" w:type="dxa"/>
            <w:shd w:val="clear" w:color="auto" w:fill="auto"/>
            <w:noWrap/>
            <w:vAlign w:val="center"/>
          </w:tcPr>
          <w:p w14:paraId="6EC1D1B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3.09±0.56</w:t>
            </w:r>
          </w:p>
        </w:tc>
        <w:tc>
          <w:tcPr>
            <w:tcW w:w="737" w:type="dxa"/>
            <w:shd w:val="clear" w:color="auto" w:fill="auto"/>
            <w:noWrap/>
            <w:vAlign w:val="center"/>
          </w:tcPr>
          <w:p w14:paraId="1C98895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3.13±0.56</w:t>
            </w:r>
          </w:p>
        </w:tc>
        <w:tc>
          <w:tcPr>
            <w:tcW w:w="737" w:type="dxa"/>
            <w:shd w:val="clear" w:color="auto" w:fill="auto"/>
            <w:noWrap/>
            <w:vAlign w:val="center"/>
          </w:tcPr>
          <w:p w14:paraId="22DAB41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2.95±0.36</w:t>
            </w:r>
          </w:p>
        </w:tc>
        <w:tc>
          <w:tcPr>
            <w:tcW w:w="737" w:type="dxa"/>
            <w:shd w:val="clear" w:color="auto" w:fill="auto"/>
            <w:noWrap/>
            <w:vAlign w:val="center"/>
          </w:tcPr>
          <w:p w14:paraId="3B3BA12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3.25±0.73</w:t>
            </w:r>
          </w:p>
        </w:tc>
        <w:tc>
          <w:tcPr>
            <w:tcW w:w="737" w:type="dxa"/>
            <w:tcBorders>
              <w:right w:val="single" w:sz="4" w:space="0" w:color="auto"/>
            </w:tcBorders>
            <w:shd w:val="clear" w:color="auto" w:fill="auto"/>
            <w:noWrap/>
            <w:vAlign w:val="center"/>
          </w:tcPr>
          <w:p w14:paraId="79A179D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2.93±0.39</w:t>
            </w:r>
          </w:p>
        </w:tc>
        <w:tc>
          <w:tcPr>
            <w:tcW w:w="737" w:type="dxa"/>
            <w:tcBorders>
              <w:left w:val="single" w:sz="4" w:space="0" w:color="auto"/>
            </w:tcBorders>
            <w:shd w:val="clear" w:color="auto" w:fill="auto"/>
            <w:noWrap/>
            <w:vAlign w:val="center"/>
          </w:tcPr>
          <w:p w14:paraId="42CBAA1C"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2.55±0.47</w:t>
            </w:r>
          </w:p>
        </w:tc>
        <w:tc>
          <w:tcPr>
            <w:tcW w:w="737" w:type="dxa"/>
            <w:shd w:val="clear" w:color="auto" w:fill="auto"/>
            <w:noWrap/>
            <w:vAlign w:val="center"/>
          </w:tcPr>
          <w:p w14:paraId="1A49C3D3"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2.67±0.52</w:t>
            </w:r>
          </w:p>
        </w:tc>
        <w:tc>
          <w:tcPr>
            <w:tcW w:w="737" w:type="dxa"/>
            <w:shd w:val="clear" w:color="auto" w:fill="auto"/>
            <w:noWrap/>
            <w:vAlign w:val="center"/>
          </w:tcPr>
          <w:p w14:paraId="1AEA2C5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3.01±0.47</w:t>
            </w:r>
          </w:p>
        </w:tc>
        <w:tc>
          <w:tcPr>
            <w:tcW w:w="737" w:type="dxa"/>
            <w:shd w:val="clear" w:color="auto" w:fill="auto"/>
            <w:noWrap/>
            <w:vAlign w:val="center"/>
          </w:tcPr>
          <w:p w14:paraId="24B4431A"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2.92±0.38</w:t>
            </w:r>
          </w:p>
        </w:tc>
        <w:tc>
          <w:tcPr>
            <w:tcW w:w="737" w:type="dxa"/>
            <w:shd w:val="clear" w:color="auto" w:fill="auto"/>
            <w:noWrap/>
            <w:vAlign w:val="center"/>
          </w:tcPr>
          <w:p w14:paraId="327EFE1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3.15±0.44</w:t>
            </w:r>
          </w:p>
        </w:tc>
        <w:tc>
          <w:tcPr>
            <w:tcW w:w="737" w:type="dxa"/>
            <w:shd w:val="clear" w:color="auto" w:fill="auto"/>
            <w:noWrap/>
            <w:vAlign w:val="center"/>
          </w:tcPr>
          <w:p w14:paraId="4CE649F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2.98±0.51</w:t>
            </w:r>
          </w:p>
        </w:tc>
        <w:tc>
          <w:tcPr>
            <w:tcW w:w="737" w:type="dxa"/>
            <w:shd w:val="clear" w:color="auto" w:fill="auto"/>
            <w:noWrap/>
            <w:vAlign w:val="center"/>
          </w:tcPr>
          <w:p w14:paraId="39B0568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2.79±0.60</w:t>
            </w:r>
          </w:p>
        </w:tc>
        <w:tc>
          <w:tcPr>
            <w:tcW w:w="737" w:type="dxa"/>
            <w:shd w:val="clear" w:color="auto" w:fill="auto"/>
            <w:noWrap/>
            <w:vAlign w:val="center"/>
          </w:tcPr>
          <w:p w14:paraId="3CF3818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2.81±0.57</w:t>
            </w:r>
          </w:p>
        </w:tc>
        <w:tc>
          <w:tcPr>
            <w:tcW w:w="737" w:type="dxa"/>
            <w:shd w:val="clear" w:color="auto" w:fill="auto"/>
            <w:noWrap/>
            <w:vAlign w:val="center"/>
          </w:tcPr>
          <w:p w14:paraId="64BD231C"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2.88±0.6</w:t>
            </w:r>
          </w:p>
        </w:tc>
      </w:tr>
      <w:tr w:rsidR="009570AC" w:rsidRPr="009570AC" w14:paraId="3816CAFD" w14:textId="77777777" w:rsidTr="00AB7FC9">
        <w:trPr>
          <w:trHeight w:val="300"/>
          <w:jc w:val="center"/>
        </w:trPr>
        <w:tc>
          <w:tcPr>
            <w:tcW w:w="1361" w:type="dxa"/>
            <w:tcBorders>
              <w:right w:val="single" w:sz="4" w:space="0" w:color="auto"/>
            </w:tcBorders>
            <w:shd w:val="clear" w:color="auto" w:fill="auto"/>
            <w:vAlign w:val="center"/>
            <w:hideMark/>
          </w:tcPr>
          <w:p w14:paraId="5116137C"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RR (breaths/min)</w:t>
            </w:r>
          </w:p>
        </w:tc>
        <w:tc>
          <w:tcPr>
            <w:tcW w:w="737" w:type="dxa"/>
            <w:tcBorders>
              <w:left w:val="single" w:sz="4" w:space="0" w:color="auto"/>
            </w:tcBorders>
            <w:shd w:val="clear" w:color="auto" w:fill="auto"/>
            <w:noWrap/>
            <w:vAlign w:val="center"/>
            <w:hideMark/>
          </w:tcPr>
          <w:p w14:paraId="56F65A3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22±11.0</w:t>
            </w:r>
          </w:p>
        </w:tc>
        <w:tc>
          <w:tcPr>
            <w:tcW w:w="737" w:type="dxa"/>
            <w:shd w:val="clear" w:color="auto" w:fill="auto"/>
            <w:noWrap/>
            <w:vAlign w:val="center"/>
            <w:hideMark/>
          </w:tcPr>
          <w:p w14:paraId="43F06FA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17±11.0</w:t>
            </w:r>
          </w:p>
        </w:tc>
        <w:tc>
          <w:tcPr>
            <w:tcW w:w="737" w:type="dxa"/>
            <w:shd w:val="clear" w:color="auto" w:fill="auto"/>
            <w:noWrap/>
            <w:vAlign w:val="center"/>
            <w:hideMark/>
          </w:tcPr>
          <w:p w14:paraId="79F790C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19±11.4</w:t>
            </w:r>
          </w:p>
        </w:tc>
        <w:tc>
          <w:tcPr>
            <w:tcW w:w="737" w:type="dxa"/>
            <w:shd w:val="clear" w:color="auto" w:fill="auto"/>
            <w:noWrap/>
            <w:vAlign w:val="center"/>
            <w:hideMark/>
          </w:tcPr>
          <w:p w14:paraId="29796CC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20±9.4</w:t>
            </w:r>
          </w:p>
        </w:tc>
        <w:tc>
          <w:tcPr>
            <w:tcW w:w="737" w:type="dxa"/>
            <w:shd w:val="clear" w:color="auto" w:fill="auto"/>
            <w:noWrap/>
            <w:vAlign w:val="center"/>
            <w:hideMark/>
          </w:tcPr>
          <w:p w14:paraId="324F8D9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20±9.8</w:t>
            </w:r>
          </w:p>
        </w:tc>
        <w:tc>
          <w:tcPr>
            <w:tcW w:w="737" w:type="dxa"/>
            <w:shd w:val="clear" w:color="auto" w:fill="auto"/>
            <w:noWrap/>
            <w:vAlign w:val="center"/>
            <w:hideMark/>
          </w:tcPr>
          <w:p w14:paraId="30F7147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23±3.7</w:t>
            </w:r>
          </w:p>
        </w:tc>
        <w:tc>
          <w:tcPr>
            <w:tcW w:w="737" w:type="dxa"/>
            <w:shd w:val="clear" w:color="auto" w:fill="auto"/>
            <w:noWrap/>
            <w:vAlign w:val="center"/>
            <w:hideMark/>
          </w:tcPr>
          <w:p w14:paraId="11D9382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17±9.9</w:t>
            </w:r>
          </w:p>
        </w:tc>
        <w:tc>
          <w:tcPr>
            <w:tcW w:w="737" w:type="dxa"/>
            <w:shd w:val="clear" w:color="auto" w:fill="auto"/>
            <w:noWrap/>
            <w:vAlign w:val="center"/>
            <w:hideMark/>
          </w:tcPr>
          <w:p w14:paraId="554C13F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18±11.1</w:t>
            </w:r>
          </w:p>
        </w:tc>
        <w:tc>
          <w:tcPr>
            <w:tcW w:w="737" w:type="dxa"/>
            <w:tcBorders>
              <w:right w:val="single" w:sz="4" w:space="0" w:color="auto"/>
            </w:tcBorders>
            <w:shd w:val="clear" w:color="auto" w:fill="auto"/>
            <w:noWrap/>
            <w:vAlign w:val="center"/>
            <w:hideMark/>
          </w:tcPr>
          <w:p w14:paraId="62A70F3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14±9.0</w:t>
            </w:r>
          </w:p>
        </w:tc>
        <w:tc>
          <w:tcPr>
            <w:tcW w:w="737" w:type="dxa"/>
            <w:tcBorders>
              <w:left w:val="single" w:sz="4" w:space="0" w:color="auto"/>
            </w:tcBorders>
            <w:shd w:val="clear" w:color="auto" w:fill="auto"/>
            <w:noWrap/>
            <w:vAlign w:val="center"/>
            <w:hideMark/>
          </w:tcPr>
          <w:p w14:paraId="3DFEE5E7"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17±6.8</w:t>
            </w:r>
          </w:p>
        </w:tc>
        <w:tc>
          <w:tcPr>
            <w:tcW w:w="737" w:type="dxa"/>
            <w:shd w:val="clear" w:color="auto" w:fill="auto"/>
            <w:noWrap/>
            <w:vAlign w:val="center"/>
            <w:hideMark/>
          </w:tcPr>
          <w:p w14:paraId="76C6A89B"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16±7.3</w:t>
            </w:r>
          </w:p>
        </w:tc>
        <w:tc>
          <w:tcPr>
            <w:tcW w:w="737" w:type="dxa"/>
            <w:shd w:val="clear" w:color="auto" w:fill="auto"/>
            <w:noWrap/>
            <w:vAlign w:val="center"/>
            <w:hideMark/>
          </w:tcPr>
          <w:p w14:paraId="3E3F2C6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16±7.2</w:t>
            </w:r>
          </w:p>
        </w:tc>
        <w:tc>
          <w:tcPr>
            <w:tcW w:w="737" w:type="dxa"/>
            <w:shd w:val="clear" w:color="auto" w:fill="auto"/>
            <w:noWrap/>
            <w:vAlign w:val="center"/>
            <w:hideMark/>
          </w:tcPr>
          <w:p w14:paraId="1897736A"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19±10.8</w:t>
            </w:r>
          </w:p>
        </w:tc>
        <w:tc>
          <w:tcPr>
            <w:tcW w:w="737" w:type="dxa"/>
            <w:shd w:val="clear" w:color="auto" w:fill="auto"/>
            <w:noWrap/>
            <w:vAlign w:val="center"/>
            <w:hideMark/>
          </w:tcPr>
          <w:p w14:paraId="053376F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19±9.1</w:t>
            </w:r>
          </w:p>
        </w:tc>
        <w:tc>
          <w:tcPr>
            <w:tcW w:w="737" w:type="dxa"/>
            <w:shd w:val="clear" w:color="auto" w:fill="auto"/>
            <w:noWrap/>
            <w:vAlign w:val="center"/>
            <w:hideMark/>
          </w:tcPr>
          <w:p w14:paraId="2268745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18±8.0</w:t>
            </w:r>
          </w:p>
        </w:tc>
        <w:tc>
          <w:tcPr>
            <w:tcW w:w="737" w:type="dxa"/>
            <w:shd w:val="clear" w:color="auto" w:fill="auto"/>
            <w:noWrap/>
            <w:vAlign w:val="center"/>
            <w:hideMark/>
          </w:tcPr>
          <w:p w14:paraId="1C4422C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18±10.9</w:t>
            </w:r>
          </w:p>
        </w:tc>
        <w:tc>
          <w:tcPr>
            <w:tcW w:w="737" w:type="dxa"/>
            <w:shd w:val="clear" w:color="auto" w:fill="auto"/>
            <w:noWrap/>
            <w:vAlign w:val="center"/>
            <w:hideMark/>
          </w:tcPr>
          <w:p w14:paraId="7CF7A2E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17±11.1</w:t>
            </w:r>
          </w:p>
        </w:tc>
        <w:tc>
          <w:tcPr>
            <w:tcW w:w="737" w:type="dxa"/>
            <w:shd w:val="clear" w:color="auto" w:fill="auto"/>
            <w:noWrap/>
            <w:vAlign w:val="center"/>
            <w:hideMark/>
          </w:tcPr>
          <w:p w14:paraId="43308979"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21±12.3</w:t>
            </w:r>
          </w:p>
        </w:tc>
      </w:tr>
      <w:tr w:rsidR="009570AC" w:rsidRPr="009570AC" w14:paraId="381CA468" w14:textId="77777777" w:rsidTr="00AB7FC9">
        <w:trPr>
          <w:trHeight w:val="315"/>
          <w:jc w:val="center"/>
        </w:trPr>
        <w:tc>
          <w:tcPr>
            <w:tcW w:w="1361" w:type="dxa"/>
            <w:tcBorders>
              <w:right w:val="single" w:sz="4" w:space="0" w:color="auto"/>
            </w:tcBorders>
            <w:shd w:val="clear" w:color="auto" w:fill="auto"/>
            <w:vAlign w:val="center"/>
            <w:hideMark/>
          </w:tcPr>
          <w:p w14:paraId="5D761231"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T (°C)</w:t>
            </w:r>
          </w:p>
        </w:tc>
        <w:tc>
          <w:tcPr>
            <w:tcW w:w="737" w:type="dxa"/>
            <w:tcBorders>
              <w:left w:val="single" w:sz="4" w:space="0" w:color="auto"/>
            </w:tcBorders>
            <w:shd w:val="clear" w:color="auto" w:fill="auto"/>
            <w:noWrap/>
            <w:vAlign w:val="center"/>
            <w:hideMark/>
          </w:tcPr>
          <w:p w14:paraId="15A4CA2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37.6±0.4</w:t>
            </w:r>
          </w:p>
        </w:tc>
        <w:tc>
          <w:tcPr>
            <w:tcW w:w="737" w:type="dxa"/>
            <w:shd w:val="clear" w:color="auto" w:fill="auto"/>
            <w:noWrap/>
            <w:vAlign w:val="center"/>
            <w:hideMark/>
          </w:tcPr>
          <w:p w14:paraId="6DECFB2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37.7±0.2</w:t>
            </w:r>
          </w:p>
        </w:tc>
        <w:tc>
          <w:tcPr>
            <w:tcW w:w="737" w:type="dxa"/>
            <w:shd w:val="clear" w:color="auto" w:fill="auto"/>
            <w:noWrap/>
            <w:vAlign w:val="center"/>
            <w:hideMark/>
          </w:tcPr>
          <w:p w14:paraId="376C336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37.7±0.2</w:t>
            </w:r>
          </w:p>
        </w:tc>
        <w:tc>
          <w:tcPr>
            <w:tcW w:w="737" w:type="dxa"/>
            <w:shd w:val="clear" w:color="auto" w:fill="auto"/>
            <w:noWrap/>
            <w:vAlign w:val="center"/>
            <w:hideMark/>
          </w:tcPr>
          <w:p w14:paraId="4CFDCD3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37.7±0.3</w:t>
            </w:r>
          </w:p>
        </w:tc>
        <w:tc>
          <w:tcPr>
            <w:tcW w:w="737" w:type="dxa"/>
            <w:shd w:val="clear" w:color="auto" w:fill="auto"/>
            <w:noWrap/>
            <w:vAlign w:val="center"/>
            <w:hideMark/>
          </w:tcPr>
          <w:p w14:paraId="3FB6910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37.7±0.2</w:t>
            </w:r>
          </w:p>
        </w:tc>
        <w:tc>
          <w:tcPr>
            <w:tcW w:w="737" w:type="dxa"/>
            <w:shd w:val="clear" w:color="auto" w:fill="auto"/>
            <w:noWrap/>
            <w:vAlign w:val="center"/>
            <w:hideMark/>
          </w:tcPr>
          <w:p w14:paraId="59E7399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37.7±0.1</w:t>
            </w:r>
          </w:p>
        </w:tc>
        <w:tc>
          <w:tcPr>
            <w:tcW w:w="737" w:type="dxa"/>
            <w:shd w:val="clear" w:color="auto" w:fill="auto"/>
            <w:noWrap/>
            <w:vAlign w:val="center"/>
            <w:hideMark/>
          </w:tcPr>
          <w:p w14:paraId="1698896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37.8±0.3</w:t>
            </w:r>
          </w:p>
        </w:tc>
        <w:tc>
          <w:tcPr>
            <w:tcW w:w="737" w:type="dxa"/>
            <w:shd w:val="clear" w:color="auto" w:fill="auto"/>
            <w:noWrap/>
            <w:vAlign w:val="center"/>
            <w:hideMark/>
          </w:tcPr>
          <w:p w14:paraId="74DD104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37.7±0.1</w:t>
            </w:r>
          </w:p>
        </w:tc>
        <w:tc>
          <w:tcPr>
            <w:tcW w:w="737" w:type="dxa"/>
            <w:tcBorders>
              <w:right w:val="single" w:sz="4" w:space="0" w:color="auto"/>
            </w:tcBorders>
            <w:shd w:val="clear" w:color="auto" w:fill="auto"/>
            <w:noWrap/>
            <w:vAlign w:val="center"/>
            <w:hideMark/>
          </w:tcPr>
          <w:p w14:paraId="5FC78E4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37.7±0.3</w:t>
            </w:r>
          </w:p>
        </w:tc>
        <w:tc>
          <w:tcPr>
            <w:tcW w:w="737" w:type="dxa"/>
            <w:tcBorders>
              <w:left w:val="single" w:sz="4" w:space="0" w:color="auto"/>
            </w:tcBorders>
            <w:shd w:val="clear" w:color="auto" w:fill="auto"/>
            <w:noWrap/>
            <w:vAlign w:val="center"/>
            <w:hideMark/>
          </w:tcPr>
          <w:p w14:paraId="05A9084B"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37.6±0.4</w:t>
            </w:r>
          </w:p>
        </w:tc>
        <w:tc>
          <w:tcPr>
            <w:tcW w:w="737" w:type="dxa"/>
            <w:shd w:val="clear" w:color="auto" w:fill="auto"/>
            <w:noWrap/>
            <w:vAlign w:val="center"/>
            <w:hideMark/>
          </w:tcPr>
          <w:p w14:paraId="40AFCCF5"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37.5±0.2</w:t>
            </w:r>
          </w:p>
        </w:tc>
        <w:tc>
          <w:tcPr>
            <w:tcW w:w="737" w:type="dxa"/>
            <w:shd w:val="clear" w:color="auto" w:fill="auto"/>
            <w:noWrap/>
            <w:vAlign w:val="center"/>
            <w:hideMark/>
          </w:tcPr>
          <w:p w14:paraId="3356B72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37.5±0.2</w:t>
            </w:r>
          </w:p>
        </w:tc>
        <w:tc>
          <w:tcPr>
            <w:tcW w:w="737" w:type="dxa"/>
            <w:shd w:val="clear" w:color="auto" w:fill="auto"/>
            <w:noWrap/>
            <w:vAlign w:val="center"/>
            <w:hideMark/>
          </w:tcPr>
          <w:p w14:paraId="20BE5A4C"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37.6±0.3</w:t>
            </w:r>
          </w:p>
        </w:tc>
        <w:tc>
          <w:tcPr>
            <w:tcW w:w="737" w:type="dxa"/>
            <w:shd w:val="clear" w:color="auto" w:fill="auto"/>
            <w:noWrap/>
            <w:vAlign w:val="center"/>
            <w:hideMark/>
          </w:tcPr>
          <w:p w14:paraId="419ACF6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37.7±0.2</w:t>
            </w:r>
          </w:p>
        </w:tc>
        <w:tc>
          <w:tcPr>
            <w:tcW w:w="737" w:type="dxa"/>
            <w:shd w:val="clear" w:color="auto" w:fill="auto"/>
            <w:noWrap/>
            <w:vAlign w:val="center"/>
            <w:hideMark/>
          </w:tcPr>
          <w:p w14:paraId="6B1297C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37.7±0.3</w:t>
            </w:r>
          </w:p>
        </w:tc>
        <w:tc>
          <w:tcPr>
            <w:tcW w:w="737" w:type="dxa"/>
            <w:shd w:val="clear" w:color="auto" w:fill="auto"/>
            <w:noWrap/>
            <w:vAlign w:val="center"/>
            <w:hideMark/>
          </w:tcPr>
          <w:p w14:paraId="43566BF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37.7±0.2</w:t>
            </w:r>
          </w:p>
        </w:tc>
        <w:tc>
          <w:tcPr>
            <w:tcW w:w="737" w:type="dxa"/>
            <w:shd w:val="clear" w:color="auto" w:fill="auto"/>
            <w:noWrap/>
            <w:vAlign w:val="center"/>
            <w:hideMark/>
          </w:tcPr>
          <w:p w14:paraId="6578AA2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37.7±0.4</w:t>
            </w:r>
          </w:p>
        </w:tc>
        <w:tc>
          <w:tcPr>
            <w:tcW w:w="737" w:type="dxa"/>
            <w:shd w:val="clear" w:color="auto" w:fill="auto"/>
            <w:noWrap/>
            <w:vAlign w:val="center"/>
            <w:hideMark/>
          </w:tcPr>
          <w:p w14:paraId="6123DE86"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37.8±0.3</w:t>
            </w:r>
          </w:p>
        </w:tc>
      </w:tr>
      <w:tr w:rsidR="009570AC" w:rsidRPr="009570AC" w14:paraId="0C1D239D" w14:textId="77777777" w:rsidTr="00AB7FC9">
        <w:trPr>
          <w:trHeight w:val="300"/>
          <w:jc w:val="center"/>
        </w:trPr>
        <w:tc>
          <w:tcPr>
            <w:tcW w:w="1361" w:type="dxa"/>
            <w:tcBorders>
              <w:right w:val="single" w:sz="4" w:space="0" w:color="auto"/>
            </w:tcBorders>
            <w:shd w:val="clear" w:color="auto" w:fill="auto"/>
            <w:vAlign w:val="center"/>
            <w:hideMark/>
          </w:tcPr>
          <w:p w14:paraId="3DDBE892"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pH</w:t>
            </w:r>
          </w:p>
        </w:tc>
        <w:tc>
          <w:tcPr>
            <w:tcW w:w="737" w:type="dxa"/>
            <w:tcBorders>
              <w:left w:val="single" w:sz="4" w:space="0" w:color="auto"/>
            </w:tcBorders>
            <w:shd w:val="clear" w:color="auto" w:fill="auto"/>
            <w:noWrap/>
            <w:vAlign w:val="center"/>
            <w:hideMark/>
          </w:tcPr>
          <w:p w14:paraId="38760B1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7.37±0.01</w:t>
            </w:r>
          </w:p>
        </w:tc>
        <w:tc>
          <w:tcPr>
            <w:tcW w:w="737" w:type="dxa"/>
            <w:shd w:val="clear" w:color="auto" w:fill="auto"/>
            <w:noWrap/>
            <w:vAlign w:val="center"/>
            <w:hideMark/>
          </w:tcPr>
          <w:p w14:paraId="2395753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7.35±0.03</w:t>
            </w:r>
          </w:p>
        </w:tc>
        <w:tc>
          <w:tcPr>
            <w:tcW w:w="737" w:type="dxa"/>
            <w:shd w:val="clear" w:color="auto" w:fill="auto"/>
            <w:noWrap/>
            <w:vAlign w:val="center"/>
            <w:hideMark/>
          </w:tcPr>
          <w:p w14:paraId="37BD6C8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7.34±0.03</w:t>
            </w:r>
          </w:p>
        </w:tc>
        <w:tc>
          <w:tcPr>
            <w:tcW w:w="737" w:type="dxa"/>
            <w:shd w:val="clear" w:color="auto" w:fill="auto"/>
            <w:noWrap/>
            <w:vAlign w:val="center"/>
            <w:hideMark/>
          </w:tcPr>
          <w:p w14:paraId="78F8884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7.36±0.03</w:t>
            </w:r>
          </w:p>
        </w:tc>
        <w:tc>
          <w:tcPr>
            <w:tcW w:w="737" w:type="dxa"/>
            <w:shd w:val="clear" w:color="auto" w:fill="auto"/>
            <w:noWrap/>
            <w:vAlign w:val="center"/>
            <w:hideMark/>
          </w:tcPr>
          <w:p w14:paraId="7191B9F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7.35±0.03</w:t>
            </w:r>
          </w:p>
        </w:tc>
        <w:tc>
          <w:tcPr>
            <w:tcW w:w="737" w:type="dxa"/>
            <w:shd w:val="clear" w:color="auto" w:fill="auto"/>
            <w:noWrap/>
            <w:vAlign w:val="center"/>
            <w:hideMark/>
          </w:tcPr>
          <w:p w14:paraId="7E989B16"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7.37±0.1</w:t>
            </w:r>
          </w:p>
        </w:tc>
        <w:tc>
          <w:tcPr>
            <w:tcW w:w="737" w:type="dxa"/>
            <w:shd w:val="clear" w:color="auto" w:fill="auto"/>
            <w:noWrap/>
            <w:vAlign w:val="center"/>
            <w:hideMark/>
          </w:tcPr>
          <w:p w14:paraId="3F82912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7.38±0.03</w:t>
            </w:r>
          </w:p>
        </w:tc>
        <w:tc>
          <w:tcPr>
            <w:tcW w:w="737" w:type="dxa"/>
            <w:shd w:val="clear" w:color="auto" w:fill="auto"/>
            <w:noWrap/>
            <w:vAlign w:val="center"/>
            <w:hideMark/>
          </w:tcPr>
          <w:p w14:paraId="0F07703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7.38±0.03</w:t>
            </w:r>
          </w:p>
        </w:tc>
        <w:tc>
          <w:tcPr>
            <w:tcW w:w="737" w:type="dxa"/>
            <w:tcBorders>
              <w:right w:val="single" w:sz="4" w:space="0" w:color="auto"/>
            </w:tcBorders>
            <w:shd w:val="clear" w:color="auto" w:fill="auto"/>
            <w:noWrap/>
            <w:vAlign w:val="center"/>
            <w:hideMark/>
          </w:tcPr>
          <w:p w14:paraId="2B69C3A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7.41±0.1</w:t>
            </w:r>
          </w:p>
        </w:tc>
        <w:tc>
          <w:tcPr>
            <w:tcW w:w="737" w:type="dxa"/>
            <w:tcBorders>
              <w:left w:val="single" w:sz="4" w:space="0" w:color="auto"/>
            </w:tcBorders>
            <w:shd w:val="clear" w:color="auto" w:fill="auto"/>
            <w:noWrap/>
            <w:vAlign w:val="center"/>
            <w:hideMark/>
          </w:tcPr>
          <w:p w14:paraId="1383C24D"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7.37±0.04</w:t>
            </w:r>
          </w:p>
        </w:tc>
        <w:tc>
          <w:tcPr>
            <w:tcW w:w="737" w:type="dxa"/>
            <w:shd w:val="clear" w:color="auto" w:fill="auto"/>
            <w:noWrap/>
            <w:vAlign w:val="center"/>
            <w:hideMark/>
          </w:tcPr>
          <w:p w14:paraId="40C1B547"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7.35±0.03</w:t>
            </w:r>
          </w:p>
        </w:tc>
        <w:tc>
          <w:tcPr>
            <w:tcW w:w="737" w:type="dxa"/>
            <w:shd w:val="clear" w:color="auto" w:fill="auto"/>
            <w:noWrap/>
            <w:vAlign w:val="center"/>
            <w:hideMark/>
          </w:tcPr>
          <w:p w14:paraId="62542C3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7.34±0.02</w:t>
            </w:r>
          </w:p>
        </w:tc>
        <w:tc>
          <w:tcPr>
            <w:tcW w:w="737" w:type="dxa"/>
            <w:shd w:val="clear" w:color="auto" w:fill="auto"/>
            <w:noWrap/>
            <w:vAlign w:val="center"/>
            <w:hideMark/>
          </w:tcPr>
          <w:p w14:paraId="52307E56"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7.34±0.03</w:t>
            </w:r>
          </w:p>
        </w:tc>
        <w:tc>
          <w:tcPr>
            <w:tcW w:w="737" w:type="dxa"/>
            <w:shd w:val="clear" w:color="auto" w:fill="auto"/>
            <w:noWrap/>
            <w:vAlign w:val="center"/>
            <w:hideMark/>
          </w:tcPr>
          <w:p w14:paraId="296B92F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7.33±0.04</w:t>
            </w:r>
          </w:p>
        </w:tc>
        <w:tc>
          <w:tcPr>
            <w:tcW w:w="737" w:type="dxa"/>
            <w:shd w:val="clear" w:color="auto" w:fill="auto"/>
            <w:noWrap/>
            <w:vAlign w:val="center"/>
            <w:hideMark/>
          </w:tcPr>
          <w:p w14:paraId="1EF1F2E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7.34±0.1</w:t>
            </w:r>
          </w:p>
        </w:tc>
        <w:tc>
          <w:tcPr>
            <w:tcW w:w="737" w:type="dxa"/>
            <w:shd w:val="clear" w:color="auto" w:fill="auto"/>
            <w:noWrap/>
            <w:vAlign w:val="center"/>
            <w:hideMark/>
          </w:tcPr>
          <w:p w14:paraId="42FFAA2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7.37±0.03</w:t>
            </w:r>
          </w:p>
        </w:tc>
        <w:tc>
          <w:tcPr>
            <w:tcW w:w="737" w:type="dxa"/>
            <w:shd w:val="clear" w:color="auto" w:fill="auto"/>
            <w:noWrap/>
            <w:vAlign w:val="center"/>
            <w:hideMark/>
          </w:tcPr>
          <w:p w14:paraId="65309DF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7.36±0.03</w:t>
            </w:r>
          </w:p>
        </w:tc>
        <w:tc>
          <w:tcPr>
            <w:tcW w:w="737" w:type="dxa"/>
            <w:shd w:val="clear" w:color="auto" w:fill="auto"/>
            <w:noWrap/>
            <w:vAlign w:val="center"/>
            <w:hideMark/>
          </w:tcPr>
          <w:p w14:paraId="152A2013"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7.39±0.03</w:t>
            </w:r>
          </w:p>
        </w:tc>
      </w:tr>
      <w:tr w:rsidR="009570AC" w:rsidRPr="009570AC" w14:paraId="3BFC6EF9" w14:textId="77777777" w:rsidTr="00AB7FC9">
        <w:trPr>
          <w:trHeight w:val="300"/>
          <w:jc w:val="center"/>
        </w:trPr>
        <w:tc>
          <w:tcPr>
            <w:tcW w:w="1361" w:type="dxa"/>
            <w:tcBorders>
              <w:right w:val="single" w:sz="4" w:space="0" w:color="auto"/>
            </w:tcBorders>
            <w:shd w:val="clear" w:color="auto" w:fill="auto"/>
            <w:vAlign w:val="center"/>
            <w:hideMark/>
          </w:tcPr>
          <w:p w14:paraId="54EC060A"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PaCO</w:t>
            </w:r>
            <w:r w:rsidRPr="009570AC">
              <w:rPr>
                <w:rFonts w:eastAsia="Times New Roman"/>
                <w:color w:val="000000"/>
                <w:sz w:val="14"/>
                <w:szCs w:val="14"/>
                <w:vertAlign w:val="subscript"/>
                <w:lang w:eastAsia="it-IT"/>
              </w:rPr>
              <w:t>2</w:t>
            </w:r>
            <w:r w:rsidRPr="009570AC">
              <w:rPr>
                <w:rFonts w:eastAsia="Times New Roman"/>
                <w:color w:val="000000"/>
                <w:sz w:val="14"/>
                <w:szCs w:val="14"/>
                <w:lang w:eastAsia="it-IT"/>
              </w:rPr>
              <w:t xml:space="preserve"> [mmHg]</w:t>
            </w:r>
          </w:p>
        </w:tc>
        <w:tc>
          <w:tcPr>
            <w:tcW w:w="737" w:type="dxa"/>
            <w:tcBorders>
              <w:left w:val="single" w:sz="4" w:space="0" w:color="auto"/>
            </w:tcBorders>
            <w:shd w:val="clear" w:color="auto" w:fill="auto"/>
            <w:noWrap/>
            <w:vAlign w:val="center"/>
            <w:hideMark/>
          </w:tcPr>
          <w:p w14:paraId="7DB09CD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33.7±2.7</w:t>
            </w:r>
          </w:p>
        </w:tc>
        <w:tc>
          <w:tcPr>
            <w:tcW w:w="737" w:type="dxa"/>
            <w:shd w:val="clear" w:color="auto" w:fill="auto"/>
            <w:noWrap/>
            <w:vAlign w:val="center"/>
            <w:hideMark/>
          </w:tcPr>
          <w:p w14:paraId="7B7D39C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34.4±3.7</w:t>
            </w:r>
          </w:p>
        </w:tc>
        <w:tc>
          <w:tcPr>
            <w:tcW w:w="737" w:type="dxa"/>
            <w:shd w:val="clear" w:color="auto" w:fill="auto"/>
            <w:noWrap/>
            <w:vAlign w:val="center"/>
            <w:hideMark/>
          </w:tcPr>
          <w:p w14:paraId="0E1E22C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36.0±4.6</w:t>
            </w:r>
          </w:p>
        </w:tc>
        <w:tc>
          <w:tcPr>
            <w:tcW w:w="737" w:type="dxa"/>
            <w:shd w:val="clear" w:color="auto" w:fill="auto"/>
            <w:noWrap/>
            <w:vAlign w:val="center"/>
            <w:hideMark/>
          </w:tcPr>
          <w:p w14:paraId="352992B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33.2±2.5</w:t>
            </w:r>
          </w:p>
        </w:tc>
        <w:tc>
          <w:tcPr>
            <w:tcW w:w="737" w:type="dxa"/>
            <w:shd w:val="clear" w:color="auto" w:fill="auto"/>
            <w:noWrap/>
            <w:vAlign w:val="center"/>
            <w:hideMark/>
          </w:tcPr>
          <w:p w14:paraId="16EDA56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34.6±1.4</w:t>
            </w:r>
          </w:p>
        </w:tc>
        <w:tc>
          <w:tcPr>
            <w:tcW w:w="737" w:type="dxa"/>
            <w:shd w:val="clear" w:color="auto" w:fill="auto"/>
            <w:noWrap/>
            <w:vAlign w:val="center"/>
            <w:hideMark/>
          </w:tcPr>
          <w:p w14:paraId="35EF727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31.9±3.0</w:t>
            </w:r>
          </w:p>
        </w:tc>
        <w:tc>
          <w:tcPr>
            <w:tcW w:w="737" w:type="dxa"/>
            <w:shd w:val="clear" w:color="auto" w:fill="auto"/>
            <w:noWrap/>
            <w:vAlign w:val="center"/>
            <w:hideMark/>
          </w:tcPr>
          <w:p w14:paraId="3E06A6A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32.7±2.4</w:t>
            </w:r>
          </w:p>
        </w:tc>
        <w:tc>
          <w:tcPr>
            <w:tcW w:w="737" w:type="dxa"/>
            <w:shd w:val="clear" w:color="auto" w:fill="auto"/>
            <w:noWrap/>
            <w:vAlign w:val="center"/>
            <w:hideMark/>
          </w:tcPr>
          <w:p w14:paraId="20343EB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32.1±2.0</w:t>
            </w:r>
          </w:p>
        </w:tc>
        <w:tc>
          <w:tcPr>
            <w:tcW w:w="737" w:type="dxa"/>
            <w:tcBorders>
              <w:right w:val="single" w:sz="4" w:space="0" w:color="auto"/>
            </w:tcBorders>
            <w:shd w:val="clear" w:color="auto" w:fill="auto"/>
            <w:noWrap/>
            <w:vAlign w:val="center"/>
            <w:hideMark/>
          </w:tcPr>
          <w:p w14:paraId="0F55E6F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30.7±4.4</w:t>
            </w:r>
          </w:p>
        </w:tc>
        <w:tc>
          <w:tcPr>
            <w:tcW w:w="737" w:type="dxa"/>
            <w:tcBorders>
              <w:left w:val="single" w:sz="4" w:space="0" w:color="auto"/>
            </w:tcBorders>
            <w:shd w:val="clear" w:color="auto" w:fill="auto"/>
            <w:noWrap/>
            <w:vAlign w:val="center"/>
            <w:hideMark/>
          </w:tcPr>
          <w:p w14:paraId="6D8A6353"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31.7±3.7</w:t>
            </w:r>
          </w:p>
        </w:tc>
        <w:tc>
          <w:tcPr>
            <w:tcW w:w="737" w:type="dxa"/>
            <w:shd w:val="clear" w:color="auto" w:fill="auto"/>
            <w:noWrap/>
            <w:vAlign w:val="center"/>
            <w:hideMark/>
          </w:tcPr>
          <w:p w14:paraId="71115FEF"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33.6±2.3</w:t>
            </w:r>
          </w:p>
        </w:tc>
        <w:tc>
          <w:tcPr>
            <w:tcW w:w="737" w:type="dxa"/>
            <w:shd w:val="clear" w:color="auto" w:fill="auto"/>
            <w:noWrap/>
            <w:vAlign w:val="center"/>
            <w:hideMark/>
          </w:tcPr>
          <w:p w14:paraId="429A4C8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34.2±1.9</w:t>
            </w:r>
          </w:p>
        </w:tc>
        <w:tc>
          <w:tcPr>
            <w:tcW w:w="737" w:type="dxa"/>
            <w:shd w:val="clear" w:color="auto" w:fill="auto"/>
            <w:noWrap/>
            <w:vAlign w:val="center"/>
            <w:hideMark/>
          </w:tcPr>
          <w:p w14:paraId="3476EF39"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34.6±2.4</w:t>
            </w:r>
          </w:p>
        </w:tc>
        <w:tc>
          <w:tcPr>
            <w:tcW w:w="737" w:type="dxa"/>
            <w:shd w:val="clear" w:color="auto" w:fill="auto"/>
            <w:noWrap/>
            <w:vAlign w:val="center"/>
            <w:hideMark/>
          </w:tcPr>
          <w:p w14:paraId="51C4342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34.8±4.3</w:t>
            </w:r>
          </w:p>
        </w:tc>
        <w:tc>
          <w:tcPr>
            <w:tcW w:w="737" w:type="dxa"/>
            <w:shd w:val="clear" w:color="auto" w:fill="auto"/>
            <w:noWrap/>
            <w:vAlign w:val="center"/>
            <w:hideMark/>
          </w:tcPr>
          <w:p w14:paraId="6F126D5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34.2±5.2</w:t>
            </w:r>
          </w:p>
        </w:tc>
        <w:tc>
          <w:tcPr>
            <w:tcW w:w="737" w:type="dxa"/>
            <w:shd w:val="clear" w:color="auto" w:fill="auto"/>
            <w:noWrap/>
            <w:vAlign w:val="center"/>
            <w:hideMark/>
          </w:tcPr>
          <w:p w14:paraId="30F9E8B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33.1±4.4</w:t>
            </w:r>
          </w:p>
        </w:tc>
        <w:tc>
          <w:tcPr>
            <w:tcW w:w="737" w:type="dxa"/>
            <w:shd w:val="clear" w:color="auto" w:fill="auto"/>
            <w:noWrap/>
            <w:vAlign w:val="center"/>
            <w:hideMark/>
          </w:tcPr>
          <w:p w14:paraId="7E61983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32.9±2.6</w:t>
            </w:r>
          </w:p>
        </w:tc>
        <w:tc>
          <w:tcPr>
            <w:tcW w:w="737" w:type="dxa"/>
            <w:shd w:val="clear" w:color="auto" w:fill="auto"/>
            <w:noWrap/>
            <w:vAlign w:val="center"/>
            <w:hideMark/>
          </w:tcPr>
          <w:p w14:paraId="01192065"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30.4±3.00</w:t>
            </w:r>
          </w:p>
        </w:tc>
      </w:tr>
      <w:tr w:rsidR="009570AC" w:rsidRPr="009570AC" w14:paraId="5E0D9FED" w14:textId="77777777" w:rsidTr="00AB7FC9">
        <w:trPr>
          <w:trHeight w:val="300"/>
          <w:jc w:val="center"/>
        </w:trPr>
        <w:tc>
          <w:tcPr>
            <w:tcW w:w="1361" w:type="dxa"/>
            <w:tcBorders>
              <w:right w:val="single" w:sz="4" w:space="0" w:color="auto"/>
            </w:tcBorders>
            <w:shd w:val="clear" w:color="auto" w:fill="auto"/>
            <w:vAlign w:val="center"/>
            <w:hideMark/>
          </w:tcPr>
          <w:p w14:paraId="5E3A2DB5"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PaO</w:t>
            </w:r>
            <w:r w:rsidRPr="009570AC">
              <w:rPr>
                <w:rFonts w:eastAsia="Times New Roman"/>
                <w:color w:val="000000"/>
                <w:sz w:val="14"/>
                <w:szCs w:val="14"/>
                <w:vertAlign w:val="subscript"/>
                <w:lang w:eastAsia="it-IT"/>
              </w:rPr>
              <w:t>2</w:t>
            </w:r>
            <w:r w:rsidRPr="009570AC">
              <w:rPr>
                <w:rFonts w:eastAsia="Times New Roman"/>
                <w:color w:val="000000"/>
                <w:sz w:val="14"/>
                <w:szCs w:val="14"/>
                <w:lang w:eastAsia="it-IT"/>
              </w:rPr>
              <w:t xml:space="preserve"> [mmHg]</w:t>
            </w:r>
          </w:p>
        </w:tc>
        <w:tc>
          <w:tcPr>
            <w:tcW w:w="737" w:type="dxa"/>
            <w:tcBorders>
              <w:left w:val="single" w:sz="4" w:space="0" w:color="auto"/>
            </w:tcBorders>
            <w:shd w:val="clear" w:color="auto" w:fill="auto"/>
            <w:noWrap/>
            <w:vAlign w:val="center"/>
            <w:hideMark/>
          </w:tcPr>
          <w:p w14:paraId="78F8699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191.0±16.4</w:t>
            </w:r>
          </w:p>
        </w:tc>
        <w:tc>
          <w:tcPr>
            <w:tcW w:w="737" w:type="dxa"/>
            <w:shd w:val="clear" w:color="auto" w:fill="auto"/>
            <w:noWrap/>
            <w:vAlign w:val="center"/>
            <w:hideMark/>
          </w:tcPr>
          <w:p w14:paraId="6CF7DB2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175.8±20.4</w:t>
            </w:r>
          </w:p>
        </w:tc>
        <w:tc>
          <w:tcPr>
            <w:tcW w:w="737" w:type="dxa"/>
            <w:shd w:val="clear" w:color="auto" w:fill="auto"/>
            <w:noWrap/>
            <w:vAlign w:val="center"/>
            <w:hideMark/>
          </w:tcPr>
          <w:p w14:paraId="7BA09AB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185.5±8.1</w:t>
            </w:r>
          </w:p>
        </w:tc>
        <w:tc>
          <w:tcPr>
            <w:tcW w:w="737" w:type="dxa"/>
            <w:shd w:val="clear" w:color="auto" w:fill="auto"/>
            <w:noWrap/>
            <w:vAlign w:val="center"/>
            <w:hideMark/>
          </w:tcPr>
          <w:p w14:paraId="5B5CA6C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189.1±11.1</w:t>
            </w:r>
          </w:p>
        </w:tc>
        <w:tc>
          <w:tcPr>
            <w:tcW w:w="737" w:type="dxa"/>
            <w:shd w:val="clear" w:color="auto" w:fill="auto"/>
            <w:noWrap/>
            <w:vAlign w:val="center"/>
            <w:hideMark/>
          </w:tcPr>
          <w:p w14:paraId="0C7674E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167.8±24.3</w:t>
            </w:r>
          </w:p>
        </w:tc>
        <w:tc>
          <w:tcPr>
            <w:tcW w:w="737" w:type="dxa"/>
            <w:shd w:val="clear" w:color="auto" w:fill="auto"/>
            <w:noWrap/>
            <w:vAlign w:val="center"/>
            <w:hideMark/>
          </w:tcPr>
          <w:p w14:paraId="376FE1F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193.5±25.1</w:t>
            </w:r>
          </w:p>
        </w:tc>
        <w:tc>
          <w:tcPr>
            <w:tcW w:w="737" w:type="dxa"/>
            <w:shd w:val="clear" w:color="auto" w:fill="auto"/>
            <w:noWrap/>
            <w:vAlign w:val="center"/>
            <w:hideMark/>
          </w:tcPr>
          <w:p w14:paraId="5A3C99F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189.6±7.1</w:t>
            </w:r>
          </w:p>
        </w:tc>
        <w:tc>
          <w:tcPr>
            <w:tcW w:w="737" w:type="dxa"/>
            <w:shd w:val="clear" w:color="auto" w:fill="auto"/>
            <w:noWrap/>
            <w:vAlign w:val="center"/>
            <w:hideMark/>
          </w:tcPr>
          <w:p w14:paraId="61EBA5B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185.6±25</w:t>
            </w:r>
          </w:p>
        </w:tc>
        <w:tc>
          <w:tcPr>
            <w:tcW w:w="737" w:type="dxa"/>
            <w:tcBorders>
              <w:right w:val="single" w:sz="4" w:space="0" w:color="auto"/>
            </w:tcBorders>
            <w:shd w:val="clear" w:color="auto" w:fill="auto"/>
            <w:noWrap/>
            <w:vAlign w:val="center"/>
            <w:hideMark/>
          </w:tcPr>
          <w:p w14:paraId="2842646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171.1±25.7</w:t>
            </w:r>
          </w:p>
        </w:tc>
        <w:tc>
          <w:tcPr>
            <w:tcW w:w="737" w:type="dxa"/>
            <w:tcBorders>
              <w:left w:val="single" w:sz="4" w:space="0" w:color="auto"/>
            </w:tcBorders>
            <w:shd w:val="clear" w:color="auto" w:fill="auto"/>
            <w:noWrap/>
            <w:vAlign w:val="center"/>
            <w:hideMark/>
          </w:tcPr>
          <w:p w14:paraId="1611CED5"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184.0±22.8</w:t>
            </w:r>
          </w:p>
        </w:tc>
        <w:tc>
          <w:tcPr>
            <w:tcW w:w="737" w:type="dxa"/>
            <w:shd w:val="clear" w:color="auto" w:fill="auto"/>
            <w:noWrap/>
            <w:vAlign w:val="center"/>
            <w:hideMark/>
          </w:tcPr>
          <w:p w14:paraId="443882F1"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166.8±37.7</w:t>
            </w:r>
          </w:p>
        </w:tc>
        <w:tc>
          <w:tcPr>
            <w:tcW w:w="737" w:type="dxa"/>
            <w:shd w:val="clear" w:color="auto" w:fill="auto"/>
            <w:noWrap/>
            <w:vAlign w:val="center"/>
            <w:hideMark/>
          </w:tcPr>
          <w:p w14:paraId="47042EE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191.8±7.4</w:t>
            </w:r>
          </w:p>
        </w:tc>
        <w:tc>
          <w:tcPr>
            <w:tcW w:w="737" w:type="dxa"/>
            <w:shd w:val="clear" w:color="auto" w:fill="auto"/>
            <w:noWrap/>
            <w:vAlign w:val="center"/>
            <w:hideMark/>
          </w:tcPr>
          <w:p w14:paraId="0688BF46"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191.0±8.60</w:t>
            </w:r>
          </w:p>
        </w:tc>
        <w:tc>
          <w:tcPr>
            <w:tcW w:w="737" w:type="dxa"/>
            <w:shd w:val="clear" w:color="auto" w:fill="auto"/>
            <w:noWrap/>
            <w:vAlign w:val="center"/>
            <w:hideMark/>
          </w:tcPr>
          <w:p w14:paraId="471E81FF" w14:textId="77777777" w:rsidR="00367616" w:rsidRPr="009570AC" w:rsidRDefault="009570AC" w:rsidP="009570AC">
            <w:pPr>
              <w:jc w:val="center"/>
              <w:rPr>
                <w:rFonts w:eastAsia="Times New Roman"/>
                <w:color w:val="000000"/>
                <w:sz w:val="14"/>
                <w:szCs w:val="14"/>
                <w:lang w:eastAsia="it-IT"/>
              </w:rPr>
            </w:pPr>
            <w:r>
              <w:rPr>
                <w:rFonts w:eastAsia="Times New Roman"/>
                <w:color w:val="000000"/>
                <w:sz w:val="14"/>
                <w:szCs w:val="14"/>
                <w:lang w:eastAsia="it-IT"/>
              </w:rPr>
              <w:t>181.0±21.0</w:t>
            </w:r>
          </w:p>
        </w:tc>
        <w:tc>
          <w:tcPr>
            <w:tcW w:w="737" w:type="dxa"/>
            <w:shd w:val="clear" w:color="auto" w:fill="auto"/>
            <w:noWrap/>
            <w:vAlign w:val="center"/>
            <w:hideMark/>
          </w:tcPr>
          <w:p w14:paraId="786DFBD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170.1±24.4</w:t>
            </w:r>
          </w:p>
        </w:tc>
        <w:tc>
          <w:tcPr>
            <w:tcW w:w="737" w:type="dxa"/>
            <w:shd w:val="clear" w:color="auto" w:fill="auto"/>
            <w:noWrap/>
            <w:vAlign w:val="center"/>
            <w:hideMark/>
          </w:tcPr>
          <w:p w14:paraId="2E641A2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187.5±15</w:t>
            </w:r>
          </w:p>
        </w:tc>
        <w:tc>
          <w:tcPr>
            <w:tcW w:w="737" w:type="dxa"/>
            <w:shd w:val="clear" w:color="auto" w:fill="auto"/>
            <w:noWrap/>
            <w:vAlign w:val="center"/>
            <w:hideMark/>
          </w:tcPr>
          <w:p w14:paraId="514C7ED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186.8±11.3</w:t>
            </w:r>
          </w:p>
        </w:tc>
        <w:tc>
          <w:tcPr>
            <w:tcW w:w="737" w:type="dxa"/>
            <w:shd w:val="clear" w:color="auto" w:fill="auto"/>
            <w:noWrap/>
            <w:vAlign w:val="center"/>
            <w:hideMark/>
          </w:tcPr>
          <w:p w14:paraId="7EAA15A7"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177.1±21.8</w:t>
            </w:r>
          </w:p>
        </w:tc>
      </w:tr>
      <w:tr w:rsidR="009570AC" w:rsidRPr="009570AC" w14:paraId="39A08C45" w14:textId="77777777" w:rsidTr="00AB7FC9">
        <w:trPr>
          <w:trHeight w:val="300"/>
          <w:jc w:val="center"/>
        </w:trPr>
        <w:tc>
          <w:tcPr>
            <w:tcW w:w="1361" w:type="dxa"/>
            <w:tcBorders>
              <w:right w:val="single" w:sz="4" w:space="0" w:color="auto"/>
            </w:tcBorders>
            <w:shd w:val="clear" w:color="auto" w:fill="auto"/>
            <w:vAlign w:val="center"/>
            <w:hideMark/>
          </w:tcPr>
          <w:p w14:paraId="4BBD3577"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Hemoglobin [g/dL]</w:t>
            </w:r>
          </w:p>
        </w:tc>
        <w:tc>
          <w:tcPr>
            <w:tcW w:w="737" w:type="dxa"/>
            <w:tcBorders>
              <w:left w:val="single" w:sz="4" w:space="0" w:color="auto"/>
            </w:tcBorders>
            <w:shd w:val="clear" w:color="auto" w:fill="auto"/>
            <w:noWrap/>
            <w:vAlign w:val="center"/>
            <w:hideMark/>
          </w:tcPr>
          <w:p w14:paraId="34B9056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9.1±1.2</w:t>
            </w:r>
          </w:p>
        </w:tc>
        <w:tc>
          <w:tcPr>
            <w:tcW w:w="737" w:type="dxa"/>
            <w:shd w:val="clear" w:color="auto" w:fill="auto"/>
            <w:noWrap/>
            <w:vAlign w:val="center"/>
            <w:hideMark/>
          </w:tcPr>
          <w:p w14:paraId="3911EF5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8.4±1.6</w:t>
            </w:r>
          </w:p>
        </w:tc>
        <w:tc>
          <w:tcPr>
            <w:tcW w:w="737" w:type="dxa"/>
            <w:shd w:val="clear" w:color="auto" w:fill="auto"/>
            <w:noWrap/>
            <w:vAlign w:val="center"/>
            <w:hideMark/>
          </w:tcPr>
          <w:p w14:paraId="001837D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8.6±1.5</w:t>
            </w:r>
          </w:p>
        </w:tc>
        <w:tc>
          <w:tcPr>
            <w:tcW w:w="737" w:type="dxa"/>
            <w:shd w:val="clear" w:color="auto" w:fill="auto"/>
            <w:noWrap/>
            <w:vAlign w:val="center"/>
            <w:hideMark/>
          </w:tcPr>
          <w:p w14:paraId="3C2345B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8.9±1.4</w:t>
            </w:r>
          </w:p>
        </w:tc>
        <w:tc>
          <w:tcPr>
            <w:tcW w:w="737" w:type="dxa"/>
            <w:shd w:val="clear" w:color="auto" w:fill="auto"/>
            <w:noWrap/>
            <w:vAlign w:val="center"/>
            <w:hideMark/>
          </w:tcPr>
          <w:p w14:paraId="30374F8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8.5±2.5</w:t>
            </w:r>
          </w:p>
        </w:tc>
        <w:tc>
          <w:tcPr>
            <w:tcW w:w="737" w:type="dxa"/>
            <w:shd w:val="clear" w:color="auto" w:fill="auto"/>
            <w:noWrap/>
            <w:vAlign w:val="center"/>
            <w:hideMark/>
          </w:tcPr>
          <w:p w14:paraId="54F3F7A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9.1±1.5</w:t>
            </w:r>
          </w:p>
        </w:tc>
        <w:tc>
          <w:tcPr>
            <w:tcW w:w="737" w:type="dxa"/>
            <w:shd w:val="clear" w:color="auto" w:fill="auto"/>
            <w:noWrap/>
            <w:vAlign w:val="center"/>
            <w:hideMark/>
          </w:tcPr>
          <w:p w14:paraId="2E702E7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8.8±1.4</w:t>
            </w:r>
          </w:p>
        </w:tc>
        <w:tc>
          <w:tcPr>
            <w:tcW w:w="737" w:type="dxa"/>
            <w:shd w:val="clear" w:color="auto" w:fill="auto"/>
            <w:noWrap/>
            <w:vAlign w:val="center"/>
            <w:hideMark/>
          </w:tcPr>
          <w:p w14:paraId="20B4381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9.3±1.3</w:t>
            </w:r>
          </w:p>
        </w:tc>
        <w:tc>
          <w:tcPr>
            <w:tcW w:w="737" w:type="dxa"/>
            <w:tcBorders>
              <w:right w:val="single" w:sz="4" w:space="0" w:color="auto"/>
            </w:tcBorders>
            <w:shd w:val="clear" w:color="auto" w:fill="auto"/>
            <w:noWrap/>
            <w:vAlign w:val="center"/>
            <w:hideMark/>
          </w:tcPr>
          <w:p w14:paraId="3CD7C90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8.8±1.8</w:t>
            </w:r>
          </w:p>
        </w:tc>
        <w:tc>
          <w:tcPr>
            <w:tcW w:w="737" w:type="dxa"/>
            <w:tcBorders>
              <w:left w:val="single" w:sz="4" w:space="0" w:color="auto"/>
            </w:tcBorders>
            <w:shd w:val="clear" w:color="auto" w:fill="auto"/>
            <w:noWrap/>
            <w:vAlign w:val="center"/>
            <w:hideMark/>
          </w:tcPr>
          <w:p w14:paraId="3D47FE1D"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9.9±0.4</w:t>
            </w:r>
          </w:p>
        </w:tc>
        <w:tc>
          <w:tcPr>
            <w:tcW w:w="737" w:type="dxa"/>
            <w:shd w:val="clear" w:color="auto" w:fill="auto"/>
            <w:noWrap/>
            <w:vAlign w:val="center"/>
            <w:hideMark/>
          </w:tcPr>
          <w:p w14:paraId="0DEC7FF2"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9.5±0.8</w:t>
            </w:r>
          </w:p>
        </w:tc>
        <w:tc>
          <w:tcPr>
            <w:tcW w:w="737" w:type="dxa"/>
            <w:shd w:val="clear" w:color="auto" w:fill="auto"/>
            <w:noWrap/>
            <w:vAlign w:val="center"/>
            <w:hideMark/>
          </w:tcPr>
          <w:p w14:paraId="44F51F7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9.4±0.4</w:t>
            </w:r>
          </w:p>
        </w:tc>
        <w:tc>
          <w:tcPr>
            <w:tcW w:w="737" w:type="dxa"/>
            <w:shd w:val="clear" w:color="auto" w:fill="auto"/>
            <w:noWrap/>
            <w:vAlign w:val="center"/>
            <w:hideMark/>
          </w:tcPr>
          <w:p w14:paraId="0AC5B736"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9.3±0.5</w:t>
            </w:r>
          </w:p>
        </w:tc>
        <w:tc>
          <w:tcPr>
            <w:tcW w:w="737" w:type="dxa"/>
            <w:shd w:val="clear" w:color="auto" w:fill="auto"/>
            <w:noWrap/>
            <w:vAlign w:val="center"/>
            <w:hideMark/>
          </w:tcPr>
          <w:p w14:paraId="5E1239F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9.6±0.5</w:t>
            </w:r>
          </w:p>
        </w:tc>
        <w:tc>
          <w:tcPr>
            <w:tcW w:w="737" w:type="dxa"/>
            <w:shd w:val="clear" w:color="auto" w:fill="auto"/>
            <w:noWrap/>
            <w:vAlign w:val="center"/>
            <w:hideMark/>
          </w:tcPr>
          <w:p w14:paraId="7C462D5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9.6±0.2</w:t>
            </w:r>
          </w:p>
        </w:tc>
        <w:tc>
          <w:tcPr>
            <w:tcW w:w="737" w:type="dxa"/>
            <w:shd w:val="clear" w:color="auto" w:fill="auto"/>
            <w:noWrap/>
            <w:vAlign w:val="center"/>
            <w:hideMark/>
          </w:tcPr>
          <w:p w14:paraId="2B464B6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9.9±1.0</w:t>
            </w:r>
          </w:p>
        </w:tc>
        <w:tc>
          <w:tcPr>
            <w:tcW w:w="737" w:type="dxa"/>
            <w:shd w:val="clear" w:color="auto" w:fill="auto"/>
            <w:noWrap/>
            <w:vAlign w:val="center"/>
            <w:hideMark/>
          </w:tcPr>
          <w:p w14:paraId="42C8994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9.9±1.5</w:t>
            </w:r>
          </w:p>
        </w:tc>
        <w:tc>
          <w:tcPr>
            <w:tcW w:w="737" w:type="dxa"/>
            <w:shd w:val="clear" w:color="auto" w:fill="auto"/>
            <w:noWrap/>
            <w:vAlign w:val="center"/>
            <w:hideMark/>
          </w:tcPr>
          <w:p w14:paraId="24ADC663"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9.1±2.2</w:t>
            </w:r>
          </w:p>
        </w:tc>
      </w:tr>
      <w:tr w:rsidR="009570AC" w:rsidRPr="009570AC" w14:paraId="0DB90D8D" w14:textId="77777777" w:rsidTr="00AB7FC9">
        <w:trPr>
          <w:trHeight w:val="300"/>
          <w:jc w:val="center"/>
        </w:trPr>
        <w:tc>
          <w:tcPr>
            <w:tcW w:w="1361" w:type="dxa"/>
            <w:tcBorders>
              <w:right w:val="single" w:sz="4" w:space="0" w:color="auto"/>
            </w:tcBorders>
            <w:shd w:val="clear" w:color="auto" w:fill="auto"/>
            <w:vAlign w:val="center"/>
            <w:hideMark/>
          </w:tcPr>
          <w:p w14:paraId="5F3217C5"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K [mmol/L]</w:t>
            </w:r>
          </w:p>
        </w:tc>
        <w:tc>
          <w:tcPr>
            <w:tcW w:w="737" w:type="dxa"/>
            <w:tcBorders>
              <w:left w:val="single" w:sz="4" w:space="0" w:color="auto"/>
            </w:tcBorders>
            <w:shd w:val="clear" w:color="auto" w:fill="auto"/>
            <w:noWrap/>
            <w:vAlign w:val="center"/>
            <w:hideMark/>
          </w:tcPr>
          <w:p w14:paraId="1FC6BF3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3.9±0.3</w:t>
            </w:r>
          </w:p>
        </w:tc>
        <w:tc>
          <w:tcPr>
            <w:tcW w:w="737" w:type="dxa"/>
            <w:shd w:val="clear" w:color="auto" w:fill="auto"/>
            <w:noWrap/>
            <w:vAlign w:val="center"/>
            <w:hideMark/>
          </w:tcPr>
          <w:p w14:paraId="26A1F12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3.7±0.3</w:t>
            </w:r>
          </w:p>
        </w:tc>
        <w:tc>
          <w:tcPr>
            <w:tcW w:w="737" w:type="dxa"/>
            <w:shd w:val="clear" w:color="auto" w:fill="auto"/>
            <w:noWrap/>
            <w:vAlign w:val="center"/>
            <w:hideMark/>
          </w:tcPr>
          <w:p w14:paraId="2DAE298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3.7±0.2</w:t>
            </w:r>
          </w:p>
        </w:tc>
        <w:tc>
          <w:tcPr>
            <w:tcW w:w="737" w:type="dxa"/>
            <w:shd w:val="clear" w:color="auto" w:fill="auto"/>
            <w:noWrap/>
            <w:vAlign w:val="center"/>
            <w:hideMark/>
          </w:tcPr>
          <w:p w14:paraId="0D7C2C9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3.5±0.3</w:t>
            </w:r>
          </w:p>
        </w:tc>
        <w:tc>
          <w:tcPr>
            <w:tcW w:w="737" w:type="dxa"/>
            <w:shd w:val="clear" w:color="auto" w:fill="auto"/>
            <w:noWrap/>
            <w:vAlign w:val="center"/>
            <w:hideMark/>
          </w:tcPr>
          <w:p w14:paraId="6FC82D3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3.5±0.1</w:t>
            </w:r>
          </w:p>
        </w:tc>
        <w:tc>
          <w:tcPr>
            <w:tcW w:w="737" w:type="dxa"/>
            <w:shd w:val="clear" w:color="auto" w:fill="auto"/>
            <w:noWrap/>
            <w:vAlign w:val="center"/>
            <w:hideMark/>
          </w:tcPr>
          <w:p w14:paraId="6D7BA14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3.5±0.1</w:t>
            </w:r>
          </w:p>
        </w:tc>
        <w:tc>
          <w:tcPr>
            <w:tcW w:w="737" w:type="dxa"/>
            <w:shd w:val="clear" w:color="auto" w:fill="auto"/>
            <w:noWrap/>
            <w:vAlign w:val="center"/>
            <w:hideMark/>
          </w:tcPr>
          <w:p w14:paraId="3AE7C67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3.9±0.2</w:t>
            </w:r>
          </w:p>
        </w:tc>
        <w:tc>
          <w:tcPr>
            <w:tcW w:w="737" w:type="dxa"/>
            <w:shd w:val="clear" w:color="auto" w:fill="auto"/>
            <w:noWrap/>
            <w:vAlign w:val="center"/>
            <w:hideMark/>
          </w:tcPr>
          <w:p w14:paraId="68B48AD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3.9±0.2</w:t>
            </w:r>
          </w:p>
        </w:tc>
        <w:tc>
          <w:tcPr>
            <w:tcW w:w="737" w:type="dxa"/>
            <w:tcBorders>
              <w:right w:val="single" w:sz="4" w:space="0" w:color="auto"/>
            </w:tcBorders>
            <w:shd w:val="clear" w:color="auto" w:fill="auto"/>
            <w:noWrap/>
            <w:vAlign w:val="center"/>
            <w:hideMark/>
          </w:tcPr>
          <w:p w14:paraId="713EE68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3.8±0.2</w:t>
            </w:r>
          </w:p>
        </w:tc>
        <w:tc>
          <w:tcPr>
            <w:tcW w:w="737" w:type="dxa"/>
            <w:tcBorders>
              <w:left w:val="single" w:sz="4" w:space="0" w:color="auto"/>
            </w:tcBorders>
            <w:shd w:val="clear" w:color="auto" w:fill="auto"/>
            <w:noWrap/>
            <w:vAlign w:val="center"/>
            <w:hideMark/>
          </w:tcPr>
          <w:p w14:paraId="151F422F"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3.7±0.3</w:t>
            </w:r>
          </w:p>
        </w:tc>
        <w:tc>
          <w:tcPr>
            <w:tcW w:w="737" w:type="dxa"/>
            <w:shd w:val="clear" w:color="auto" w:fill="auto"/>
            <w:noWrap/>
            <w:vAlign w:val="center"/>
            <w:hideMark/>
          </w:tcPr>
          <w:p w14:paraId="6B3AB6E6"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3.6±0.5</w:t>
            </w:r>
          </w:p>
        </w:tc>
        <w:tc>
          <w:tcPr>
            <w:tcW w:w="737" w:type="dxa"/>
            <w:shd w:val="clear" w:color="auto" w:fill="auto"/>
            <w:noWrap/>
            <w:vAlign w:val="center"/>
            <w:hideMark/>
          </w:tcPr>
          <w:p w14:paraId="46878DB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3.4±0.4</w:t>
            </w:r>
          </w:p>
        </w:tc>
        <w:tc>
          <w:tcPr>
            <w:tcW w:w="737" w:type="dxa"/>
            <w:shd w:val="clear" w:color="auto" w:fill="auto"/>
            <w:noWrap/>
            <w:vAlign w:val="center"/>
            <w:hideMark/>
          </w:tcPr>
          <w:p w14:paraId="595572FC"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3.4±0.3</w:t>
            </w:r>
          </w:p>
        </w:tc>
        <w:tc>
          <w:tcPr>
            <w:tcW w:w="737" w:type="dxa"/>
            <w:shd w:val="clear" w:color="auto" w:fill="auto"/>
            <w:noWrap/>
            <w:vAlign w:val="center"/>
            <w:hideMark/>
          </w:tcPr>
          <w:p w14:paraId="3E2919E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3.4±0.4</w:t>
            </w:r>
          </w:p>
        </w:tc>
        <w:tc>
          <w:tcPr>
            <w:tcW w:w="737" w:type="dxa"/>
            <w:shd w:val="clear" w:color="auto" w:fill="auto"/>
            <w:noWrap/>
            <w:vAlign w:val="center"/>
            <w:hideMark/>
          </w:tcPr>
          <w:p w14:paraId="49D332B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3.4±0.5</w:t>
            </w:r>
          </w:p>
        </w:tc>
        <w:tc>
          <w:tcPr>
            <w:tcW w:w="737" w:type="dxa"/>
            <w:shd w:val="clear" w:color="auto" w:fill="auto"/>
            <w:noWrap/>
            <w:vAlign w:val="center"/>
            <w:hideMark/>
          </w:tcPr>
          <w:p w14:paraId="464C9B9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3.9±0.5</w:t>
            </w:r>
          </w:p>
        </w:tc>
        <w:tc>
          <w:tcPr>
            <w:tcW w:w="737" w:type="dxa"/>
            <w:shd w:val="clear" w:color="auto" w:fill="auto"/>
            <w:noWrap/>
            <w:vAlign w:val="center"/>
            <w:hideMark/>
          </w:tcPr>
          <w:p w14:paraId="03FA1A9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4.0±0.6</w:t>
            </w:r>
          </w:p>
        </w:tc>
        <w:tc>
          <w:tcPr>
            <w:tcW w:w="737" w:type="dxa"/>
            <w:shd w:val="clear" w:color="auto" w:fill="auto"/>
            <w:noWrap/>
            <w:vAlign w:val="center"/>
            <w:hideMark/>
          </w:tcPr>
          <w:p w14:paraId="2CDBF7AA"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3.9±0.5</w:t>
            </w:r>
          </w:p>
        </w:tc>
      </w:tr>
      <w:tr w:rsidR="009570AC" w:rsidRPr="009570AC" w14:paraId="57C36933" w14:textId="77777777" w:rsidTr="00AB7FC9">
        <w:trPr>
          <w:trHeight w:val="300"/>
          <w:jc w:val="center"/>
        </w:trPr>
        <w:tc>
          <w:tcPr>
            <w:tcW w:w="1361" w:type="dxa"/>
            <w:tcBorders>
              <w:right w:val="single" w:sz="4" w:space="0" w:color="auto"/>
            </w:tcBorders>
            <w:shd w:val="clear" w:color="auto" w:fill="auto"/>
            <w:vAlign w:val="center"/>
            <w:hideMark/>
          </w:tcPr>
          <w:p w14:paraId="0F499711"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Na [mmol/L]</w:t>
            </w:r>
          </w:p>
        </w:tc>
        <w:tc>
          <w:tcPr>
            <w:tcW w:w="737" w:type="dxa"/>
            <w:tcBorders>
              <w:left w:val="single" w:sz="4" w:space="0" w:color="auto"/>
            </w:tcBorders>
            <w:shd w:val="clear" w:color="auto" w:fill="auto"/>
            <w:noWrap/>
            <w:vAlign w:val="center"/>
            <w:hideMark/>
          </w:tcPr>
          <w:p w14:paraId="15352D8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145.0±3.7</w:t>
            </w:r>
          </w:p>
        </w:tc>
        <w:tc>
          <w:tcPr>
            <w:tcW w:w="737" w:type="dxa"/>
            <w:shd w:val="clear" w:color="auto" w:fill="auto"/>
            <w:noWrap/>
            <w:vAlign w:val="center"/>
            <w:hideMark/>
          </w:tcPr>
          <w:p w14:paraId="3420A9C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144.5±3.3</w:t>
            </w:r>
          </w:p>
        </w:tc>
        <w:tc>
          <w:tcPr>
            <w:tcW w:w="737" w:type="dxa"/>
            <w:shd w:val="clear" w:color="auto" w:fill="auto"/>
            <w:noWrap/>
            <w:vAlign w:val="center"/>
            <w:hideMark/>
          </w:tcPr>
          <w:p w14:paraId="641D017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143.3±3.5</w:t>
            </w:r>
          </w:p>
        </w:tc>
        <w:tc>
          <w:tcPr>
            <w:tcW w:w="737" w:type="dxa"/>
            <w:shd w:val="clear" w:color="auto" w:fill="auto"/>
            <w:noWrap/>
            <w:vAlign w:val="center"/>
            <w:hideMark/>
          </w:tcPr>
          <w:p w14:paraId="47CD2BF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143.1±3.9</w:t>
            </w:r>
          </w:p>
        </w:tc>
        <w:tc>
          <w:tcPr>
            <w:tcW w:w="737" w:type="dxa"/>
            <w:shd w:val="clear" w:color="auto" w:fill="auto"/>
            <w:noWrap/>
            <w:vAlign w:val="center"/>
            <w:hideMark/>
          </w:tcPr>
          <w:p w14:paraId="251C430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143.3±3.8</w:t>
            </w:r>
          </w:p>
        </w:tc>
        <w:tc>
          <w:tcPr>
            <w:tcW w:w="737" w:type="dxa"/>
            <w:shd w:val="clear" w:color="auto" w:fill="auto"/>
            <w:noWrap/>
            <w:vAlign w:val="center"/>
            <w:hideMark/>
          </w:tcPr>
          <w:p w14:paraId="4844220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142.5±3.6</w:t>
            </w:r>
          </w:p>
        </w:tc>
        <w:tc>
          <w:tcPr>
            <w:tcW w:w="737" w:type="dxa"/>
            <w:shd w:val="clear" w:color="auto" w:fill="auto"/>
            <w:noWrap/>
            <w:vAlign w:val="center"/>
            <w:hideMark/>
          </w:tcPr>
          <w:p w14:paraId="78DA797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142.8±1.5</w:t>
            </w:r>
          </w:p>
        </w:tc>
        <w:tc>
          <w:tcPr>
            <w:tcW w:w="737" w:type="dxa"/>
            <w:shd w:val="clear" w:color="auto" w:fill="auto"/>
            <w:noWrap/>
            <w:vAlign w:val="center"/>
            <w:hideMark/>
          </w:tcPr>
          <w:p w14:paraId="70731EB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141.5±2.4</w:t>
            </w:r>
          </w:p>
        </w:tc>
        <w:tc>
          <w:tcPr>
            <w:tcW w:w="737" w:type="dxa"/>
            <w:tcBorders>
              <w:right w:val="single" w:sz="4" w:space="0" w:color="auto"/>
            </w:tcBorders>
            <w:shd w:val="clear" w:color="auto" w:fill="auto"/>
            <w:noWrap/>
            <w:vAlign w:val="center"/>
            <w:hideMark/>
          </w:tcPr>
          <w:p w14:paraId="0B6EA48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141.8±1.2</w:t>
            </w:r>
          </w:p>
        </w:tc>
        <w:tc>
          <w:tcPr>
            <w:tcW w:w="737" w:type="dxa"/>
            <w:tcBorders>
              <w:left w:val="single" w:sz="4" w:space="0" w:color="auto"/>
            </w:tcBorders>
            <w:shd w:val="clear" w:color="auto" w:fill="auto"/>
            <w:noWrap/>
            <w:vAlign w:val="center"/>
            <w:hideMark/>
          </w:tcPr>
          <w:p w14:paraId="2EA9C819"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145.1±1.8</w:t>
            </w:r>
          </w:p>
        </w:tc>
        <w:tc>
          <w:tcPr>
            <w:tcW w:w="737" w:type="dxa"/>
            <w:shd w:val="clear" w:color="auto" w:fill="auto"/>
            <w:noWrap/>
            <w:vAlign w:val="center"/>
            <w:hideMark/>
          </w:tcPr>
          <w:p w14:paraId="426E3BC0"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144.1±2.1</w:t>
            </w:r>
          </w:p>
        </w:tc>
        <w:tc>
          <w:tcPr>
            <w:tcW w:w="737" w:type="dxa"/>
            <w:shd w:val="clear" w:color="auto" w:fill="auto"/>
            <w:noWrap/>
            <w:vAlign w:val="center"/>
            <w:hideMark/>
          </w:tcPr>
          <w:p w14:paraId="19F7185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143.0±2.4</w:t>
            </w:r>
          </w:p>
        </w:tc>
        <w:tc>
          <w:tcPr>
            <w:tcW w:w="737" w:type="dxa"/>
            <w:shd w:val="clear" w:color="auto" w:fill="auto"/>
            <w:noWrap/>
            <w:vAlign w:val="center"/>
            <w:hideMark/>
          </w:tcPr>
          <w:p w14:paraId="376D37B7"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144.5±5.0</w:t>
            </w:r>
          </w:p>
        </w:tc>
        <w:tc>
          <w:tcPr>
            <w:tcW w:w="737" w:type="dxa"/>
            <w:shd w:val="clear" w:color="auto" w:fill="auto"/>
            <w:noWrap/>
            <w:vAlign w:val="center"/>
            <w:hideMark/>
          </w:tcPr>
          <w:p w14:paraId="73FF423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142.3±2.1</w:t>
            </w:r>
          </w:p>
        </w:tc>
        <w:tc>
          <w:tcPr>
            <w:tcW w:w="737" w:type="dxa"/>
            <w:shd w:val="clear" w:color="auto" w:fill="auto"/>
            <w:noWrap/>
            <w:vAlign w:val="center"/>
            <w:hideMark/>
          </w:tcPr>
          <w:p w14:paraId="229C36E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140.3±3.6</w:t>
            </w:r>
          </w:p>
        </w:tc>
        <w:tc>
          <w:tcPr>
            <w:tcW w:w="737" w:type="dxa"/>
            <w:shd w:val="clear" w:color="auto" w:fill="auto"/>
            <w:noWrap/>
            <w:vAlign w:val="center"/>
            <w:hideMark/>
          </w:tcPr>
          <w:p w14:paraId="5DF3571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140.3±3.1</w:t>
            </w:r>
          </w:p>
        </w:tc>
        <w:tc>
          <w:tcPr>
            <w:tcW w:w="737" w:type="dxa"/>
            <w:shd w:val="clear" w:color="auto" w:fill="auto"/>
            <w:noWrap/>
            <w:vAlign w:val="center"/>
            <w:hideMark/>
          </w:tcPr>
          <w:p w14:paraId="5B61146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139.8±4.2</w:t>
            </w:r>
          </w:p>
        </w:tc>
        <w:tc>
          <w:tcPr>
            <w:tcW w:w="737" w:type="dxa"/>
            <w:shd w:val="clear" w:color="auto" w:fill="auto"/>
            <w:noWrap/>
            <w:vAlign w:val="center"/>
            <w:hideMark/>
          </w:tcPr>
          <w:p w14:paraId="36578CDA"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139.1±5.2</w:t>
            </w:r>
          </w:p>
        </w:tc>
      </w:tr>
      <w:tr w:rsidR="009570AC" w:rsidRPr="009570AC" w14:paraId="11F9B925" w14:textId="77777777" w:rsidTr="00AB7FC9">
        <w:trPr>
          <w:trHeight w:val="300"/>
          <w:jc w:val="center"/>
        </w:trPr>
        <w:tc>
          <w:tcPr>
            <w:tcW w:w="1361" w:type="dxa"/>
            <w:tcBorders>
              <w:right w:val="single" w:sz="4" w:space="0" w:color="auto"/>
            </w:tcBorders>
            <w:shd w:val="clear" w:color="auto" w:fill="auto"/>
            <w:vAlign w:val="center"/>
            <w:hideMark/>
          </w:tcPr>
          <w:p w14:paraId="7EA7B9D7"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Ca [mmol/L]</w:t>
            </w:r>
          </w:p>
        </w:tc>
        <w:tc>
          <w:tcPr>
            <w:tcW w:w="737" w:type="dxa"/>
            <w:tcBorders>
              <w:left w:val="single" w:sz="4" w:space="0" w:color="auto"/>
            </w:tcBorders>
            <w:shd w:val="clear" w:color="auto" w:fill="auto"/>
            <w:noWrap/>
            <w:vAlign w:val="center"/>
            <w:hideMark/>
          </w:tcPr>
          <w:p w14:paraId="0391780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1.3±0.02</w:t>
            </w:r>
          </w:p>
        </w:tc>
        <w:tc>
          <w:tcPr>
            <w:tcW w:w="737" w:type="dxa"/>
            <w:shd w:val="clear" w:color="auto" w:fill="auto"/>
            <w:noWrap/>
            <w:vAlign w:val="center"/>
            <w:hideMark/>
          </w:tcPr>
          <w:p w14:paraId="7EB64F06"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1.4±0.03</w:t>
            </w:r>
          </w:p>
        </w:tc>
        <w:tc>
          <w:tcPr>
            <w:tcW w:w="737" w:type="dxa"/>
            <w:shd w:val="clear" w:color="auto" w:fill="auto"/>
            <w:noWrap/>
            <w:vAlign w:val="center"/>
            <w:hideMark/>
          </w:tcPr>
          <w:p w14:paraId="3302990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1.3±0.03</w:t>
            </w:r>
          </w:p>
        </w:tc>
        <w:tc>
          <w:tcPr>
            <w:tcW w:w="737" w:type="dxa"/>
            <w:shd w:val="clear" w:color="auto" w:fill="auto"/>
            <w:noWrap/>
            <w:vAlign w:val="center"/>
            <w:hideMark/>
          </w:tcPr>
          <w:p w14:paraId="05B4B71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1.3±0.1</w:t>
            </w:r>
          </w:p>
        </w:tc>
        <w:tc>
          <w:tcPr>
            <w:tcW w:w="737" w:type="dxa"/>
            <w:shd w:val="clear" w:color="auto" w:fill="auto"/>
            <w:noWrap/>
            <w:vAlign w:val="center"/>
            <w:hideMark/>
          </w:tcPr>
          <w:p w14:paraId="00E0031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1.4±0.04</w:t>
            </w:r>
          </w:p>
        </w:tc>
        <w:tc>
          <w:tcPr>
            <w:tcW w:w="737" w:type="dxa"/>
            <w:shd w:val="clear" w:color="auto" w:fill="auto"/>
            <w:noWrap/>
            <w:vAlign w:val="center"/>
            <w:hideMark/>
          </w:tcPr>
          <w:p w14:paraId="2CE40D4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1.3±0.04</w:t>
            </w:r>
          </w:p>
        </w:tc>
        <w:tc>
          <w:tcPr>
            <w:tcW w:w="737" w:type="dxa"/>
            <w:shd w:val="clear" w:color="auto" w:fill="auto"/>
            <w:noWrap/>
            <w:vAlign w:val="center"/>
            <w:hideMark/>
          </w:tcPr>
          <w:p w14:paraId="43DE614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1.3±0.04</w:t>
            </w:r>
          </w:p>
        </w:tc>
        <w:tc>
          <w:tcPr>
            <w:tcW w:w="737" w:type="dxa"/>
            <w:shd w:val="clear" w:color="auto" w:fill="auto"/>
            <w:noWrap/>
            <w:vAlign w:val="center"/>
            <w:hideMark/>
          </w:tcPr>
          <w:p w14:paraId="4546587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1.3±0.04</w:t>
            </w:r>
          </w:p>
        </w:tc>
        <w:tc>
          <w:tcPr>
            <w:tcW w:w="737" w:type="dxa"/>
            <w:tcBorders>
              <w:right w:val="single" w:sz="4" w:space="0" w:color="auto"/>
            </w:tcBorders>
            <w:shd w:val="clear" w:color="auto" w:fill="auto"/>
            <w:noWrap/>
            <w:vAlign w:val="center"/>
            <w:hideMark/>
          </w:tcPr>
          <w:p w14:paraId="36BBA40B"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1.3±0.06</w:t>
            </w:r>
          </w:p>
        </w:tc>
        <w:tc>
          <w:tcPr>
            <w:tcW w:w="737" w:type="dxa"/>
            <w:tcBorders>
              <w:left w:val="single" w:sz="4" w:space="0" w:color="auto"/>
            </w:tcBorders>
            <w:shd w:val="clear" w:color="auto" w:fill="auto"/>
            <w:noWrap/>
            <w:vAlign w:val="center"/>
            <w:hideMark/>
          </w:tcPr>
          <w:p w14:paraId="57910E4A"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1.4±0.1</w:t>
            </w:r>
          </w:p>
        </w:tc>
        <w:tc>
          <w:tcPr>
            <w:tcW w:w="737" w:type="dxa"/>
            <w:shd w:val="clear" w:color="auto" w:fill="auto"/>
            <w:noWrap/>
            <w:vAlign w:val="center"/>
            <w:hideMark/>
          </w:tcPr>
          <w:p w14:paraId="72DE13FB"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1.4±0.06</w:t>
            </w:r>
          </w:p>
        </w:tc>
        <w:tc>
          <w:tcPr>
            <w:tcW w:w="737" w:type="dxa"/>
            <w:shd w:val="clear" w:color="auto" w:fill="auto"/>
            <w:noWrap/>
            <w:vAlign w:val="center"/>
            <w:hideMark/>
          </w:tcPr>
          <w:p w14:paraId="4CB181F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1.4±0.1</w:t>
            </w:r>
          </w:p>
        </w:tc>
        <w:tc>
          <w:tcPr>
            <w:tcW w:w="737" w:type="dxa"/>
            <w:shd w:val="clear" w:color="auto" w:fill="auto"/>
            <w:noWrap/>
            <w:vAlign w:val="center"/>
            <w:hideMark/>
          </w:tcPr>
          <w:p w14:paraId="50D49FD9"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1.4±0.1</w:t>
            </w:r>
          </w:p>
        </w:tc>
        <w:tc>
          <w:tcPr>
            <w:tcW w:w="737" w:type="dxa"/>
            <w:shd w:val="clear" w:color="auto" w:fill="auto"/>
            <w:noWrap/>
            <w:vAlign w:val="center"/>
            <w:hideMark/>
          </w:tcPr>
          <w:p w14:paraId="080538F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1.3±0.1</w:t>
            </w:r>
          </w:p>
        </w:tc>
        <w:tc>
          <w:tcPr>
            <w:tcW w:w="737" w:type="dxa"/>
            <w:shd w:val="clear" w:color="auto" w:fill="auto"/>
            <w:noWrap/>
            <w:vAlign w:val="center"/>
            <w:hideMark/>
          </w:tcPr>
          <w:p w14:paraId="4B678CE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1.3±0.1</w:t>
            </w:r>
          </w:p>
        </w:tc>
        <w:tc>
          <w:tcPr>
            <w:tcW w:w="737" w:type="dxa"/>
            <w:shd w:val="clear" w:color="auto" w:fill="auto"/>
            <w:noWrap/>
            <w:vAlign w:val="center"/>
            <w:hideMark/>
          </w:tcPr>
          <w:p w14:paraId="5E969CE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1.3±0.1</w:t>
            </w:r>
          </w:p>
        </w:tc>
        <w:tc>
          <w:tcPr>
            <w:tcW w:w="737" w:type="dxa"/>
            <w:shd w:val="clear" w:color="auto" w:fill="auto"/>
            <w:noWrap/>
            <w:vAlign w:val="center"/>
            <w:hideMark/>
          </w:tcPr>
          <w:p w14:paraId="530EB30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1.4±0.2</w:t>
            </w:r>
          </w:p>
        </w:tc>
        <w:tc>
          <w:tcPr>
            <w:tcW w:w="737" w:type="dxa"/>
            <w:shd w:val="clear" w:color="auto" w:fill="auto"/>
            <w:noWrap/>
            <w:vAlign w:val="center"/>
            <w:hideMark/>
          </w:tcPr>
          <w:p w14:paraId="75F6A3E0"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1.3±0.1</w:t>
            </w:r>
          </w:p>
        </w:tc>
      </w:tr>
      <w:tr w:rsidR="009570AC" w:rsidRPr="009570AC" w14:paraId="68AB50AD" w14:textId="77777777" w:rsidTr="00AB7FC9">
        <w:trPr>
          <w:trHeight w:val="300"/>
          <w:jc w:val="center"/>
        </w:trPr>
        <w:tc>
          <w:tcPr>
            <w:tcW w:w="1361" w:type="dxa"/>
            <w:tcBorders>
              <w:right w:val="single" w:sz="4" w:space="0" w:color="auto"/>
            </w:tcBorders>
            <w:shd w:val="clear" w:color="auto" w:fill="auto"/>
            <w:vAlign w:val="center"/>
            <w:hideMark/>
          </w:tcPr>
          <w:p w14:paraId="34408228"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Cl [mmol/L]</w:t>
            </w:r>
          </w:p>
        </w:tc>
        <w:tc>
          <w:tcPr>
            <w:tcW w:w="737" w:type="dxa"/>
            <w:tcBorders>
              <w:left w:val="single" w:sz="4" w:space="0" w:color="auto"/>
            </w:tcBorders>
            <w:shd w:val="clear" w:color="auto" w:fill="auto"/>
            <w:noWrap/>
            <w:vAlign w:val="center"/>
            <w:hideMark/>
          </w:tcPr>
          <w:p w14:paraId="29CDF77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109.0±3.5</w:t>
            </w:r>
          </w:p>
        </w:tc>
        <w:tc>
          <w:tcPr>
            <w:tcW w:w="737" w:type="dxa"/>
            <w:shd w:val="clear" w:color="auto" w:fill="auto"/>
            <w:noWrap/>
            <w:vAlign w:val="center"/>
            <w:hideMark/>
          </w:tcPr>
          <w:p w14:paraId="5D9BA69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108.5±3.9</w:t>
            </w:r>
          </w:p>
        </w:tc>
        <w:tc>
          <w:tcPr>
            <w:tcW w:w="737" w:type="dxa"/>
            <w:shd w:val="clear" w:color="auto" w:fill="auto"/>
            <w:noWrap/>
            <w:vAlign w:val="center"/>
            <w:hideMark/>
          </w:tcPr>
          <w:p w14:paraId="37539DB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108.0±3.9</w:t>
            </w:r>
          </w:p>
        </w:tc>
        <w:tc>
          <w:tcPr>
            <w:tcW w:w="737" w:type="dxa"/>
            <w:shd w:val="clear" w:color="auto" w:fill="auto"/>
            <w:noWrap/>
            <w:vAlign w:val="center"/>
            <w:hideMark/>
          </w:tcPr>
          <w:p w14:paraId="1DD656A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108.3±4.3</w:t>
            </w:r>
          </w:p>
        </w:tc>
        <w:tc>
          <w:tcPr>
            <w:tcW w:w="737" w:type="dxa"/>
            <w:shd w:val="clear" w:color="auto" w:fill="auto"/>
            <w:noWrap/>
            <w:vAlign w:val="center"/>
            <w:hideMark/>
          </w:tcPr>
          <w:p w14:paraId="42C781C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107.0±3.7</w:t>
            </w:r>
          </w:p>
        </w:tc>
        <w:tc>
          <w:tcPr>
            <w:tcW w:w="737" w:type="dxa"/>
            <w:shd w:val="clear" w:color="auto" w:fill="auto"/>
            <w:noWrap/>
            <w:vAlign w:val="center"/>
            <w:hideMark/>
          </w:tcPr>
          <w:p w14:paraId="7ACAE78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107.3±3.7</w:t>
            </w:r>
          </w:p>
        </w:tc>
        <w:tc>
          <w:tcPr>
            <w:tcW w:w="737" w:type="dxa"/>
            <w:shd w:val="clear" w:color="auto" w:fill="auto"/>
            <w:noWrap/>
            <w:vAlign w:val="center"/>
            <w:hideMark/>
          </w:tcPr>
          <w:p w14:paraId="55218C1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106.6±2.4</w:t>
            </w:r>
          </w:p>
        </w:tc>
        <w:tc>
          <w:tcPr>
            <w:tcW w:w="737" w:type="dxa"/>
            <w:shd w:val="clear" w:color="auto" w:fill="auto"/>
            <w:noWrap/>
            <w:vAlign w:val="center"/>
            <w:hideMark/>
          </w:tcPr>
          <w:p w14:paraId="030780F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105.8±2.8</w:t>
            </w:r>
          </w:p>
        </w:tc>
        <w:tc>
          <w:tcPr>
            <w:tcW w:w="737" w:type="dxa"/>
            <w:tcBorders>
              <w:right w:val="single" w:sz="4" w:space="0" w:color="auto"/>
            </w:tcBorders>
            <w:shd w:val="clear" w:color="auto" w:fill="auto"/>
            <w:noWrap/>
            <w:vAlign w:val="center"/>
            <w:hideMark/>
          </w:tcPr>
          <w:p w14:paraId="51EAF87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105.3±3.6</w:t>
            </w:r>
          </w:p>
        </w:tc>
        <w:tc>
          <w:tcPr>
            <w:tcW w:w="737" w:type="dxa"/>
            <w:tcBorders>
              <w:left w:val="single" w:sz="4" w:space="0" w:color="auto"/>
            </w:tcBorders>
            <w:shd w:val="clear" w:color="auto" w:fill="auto"/>
            <w:noWrap/>
            <w:vAlign w:val="center"/>
            <w:hideMark/>
          </w:tcPr>
          <w:p w14:paraId="3E4BCA2D"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109.1±2.9</w:t>
            </w:r>
          </w:p>
        </w:tc>
        <w:tc>
          <w:tcPr>
            <w:tcW w:w="737" w:type="dxa"/>
            <w:shd w:val="clear" w:color="auto" w:fill="auto"/>
            <w:noWrap/>
            <w:vAlign w:val="center"/>
            <w:hideMark/>
          </w:tcPr>
          <w:p w14:paraId="7C97E700"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108.6±3.5</w:t>
            </w:r>
          </w:p>
        </w:tc>
        <w:tc>
          <w:tcPr>
            <w:tcW w:w="737" w:type="dxa"/>
            <w:shd w:val="clear" w:color="auto" w:fill="auto"/>
            <w:noWrap/>
            <w:vAlign w:val="center"/>
            <w:hideMark/>
          </w:tcPr>
          <w:p w14:paraId="6A85F63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108.0±3.2</w:t>
            </w:r>
          </w:p>
        </w:tc>
        <w:tc>
          <w:tcPr>
            <w:tcW w:w="737" w:type="dxa"/>
            <w:shd w:val="clear" w:color="auto" w:fill="auto"/>
            <w:noWrap/>
            <w:vAlign w:val="center"/>
            <w:hideMark/>
          </w:tcPr>
          <w:p w14:paraId="304388B4"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107.3±3.6</w:t>
            </w:r>
          </w:p>
        </w:tc>
        <w:tc>
          <w:tcPr>
            <w:tcW w:w="737" w:type="dxa"/>
            <w:shd w:val="clear" w:color="auto" w:fill="auto"/>
            <w:noWrap/>
            <w:vAlign w:val="center"/>
            <w:hideMark/>
          </w:tcPr>
          <w:p w14:paraId="29E02A5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107.0±4.0</w:t>
            </w:r>
          </w:p>
        </w:tc>
        <w:tc>
          <w:tcPr>
            <w:tcW w:w="737" w:type="dxa"/>
            <w:shd w:val="clear" w:color="auto" w:fill="auto"/>
            <w:noWrap/>
            <w:vAlign w:val="center"/>
            <w:hideMark/>
          </w:tcPr>
          <w:p w14:paraId="17C6553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106.3±3.3</w:t>
            </w:r>
          </w:p>
        </w:tc>
        <w:tc>
          <w:tcPr>
            <w:tcW w:w="737" w:type="dxa"/>
            <w:shd w:val="clear" w:color="auto" w:fill="auto"/>
            <w:noWrap/>
            <w:vAlign w:val="center"/>
            <w:hideMark/>
          </w:tcPr>
          <w:p w14:paraId="2EBF8BC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104.5±3.5</w:t>
            </w:r>
          </w:p>
        </w:tc>
        <w:tc>
          <w:tcPr>
            <w:tcW w:w="737" w:type="dxa"/>
            <w:shd w:val="clear" w:color="auto" w:fill="auto"/>
            <w:noWrap/>
            <w:vAlign w:val="center"/>
            <w:hideMark/>
          </w:tcPr>
          <w:p w14:paraId="0562FE2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104.6±4.4</w:t>
            </w:r>
          </w:p>
        </w:tc>
        <w:tc>
          <w:tcPr>
            <w:tcW w:w="737" w:type="dxa"/>
            <w:shd w:val="clear" w:color="auto" w:fill="auto"/>
            <w:noWrap/>
            <w:vAlign w:val="center"/>
            <w:hideMark/>
          </w:tcPr>
          <w:p w14:paraId="41BC1CD8"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104.6±4.9</w:t>
            </w:r>
          </w:p>
        </w:tc>
      </w:tr>
      <w:tr w:rsidR="009570AC" w:rsidRPr="009570AC" w14:paraId="62CC5585" w14:textId="77777777" w:rsidTr="00AB7FC9">
        <w:trPr>
          <w:trHeight w:val="300"/>
          <w:jc w:val="center"/>
        </w:trPr>
        <w:tc>
          <w:tcPr>
            <w:tcW w:w="1361" w:type="dxa"/>
            <w:tcBorders>
              <w:right w:val="single" w:sz="4" w:space="0" w:color="auto"/>
            </w:tcBorders>
            <w:shd w:val="clear" w:color="auto" w:fill="auto"/>
            <w:vAlign w:val="center"/>
            <w:hideMark/>
          </w:tcPr>
          <w:p w14:paraId="0F42DE42"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Lactate [mmol/L]</w:t>
            </w:r>
          </w:p>
        </w:tc>
        <w:tc>
          <w:tcPr>
            <w:tcW w:w="737" w:type="dxa"/>
            <w:tcBorders>
              <w:left w:val="single" w:sz="4" w:space="0" w:color="auto"/>
            </w:tcBorders>
            <w:shd w:val="clear" w:color="auto" w:fill="auto"/>
            <w:noWrap/>
            <w:vAlign w:val="center"/>
            <w:hideMark/>
          </w:tcPr>
          <w:p w14:paraId="1355428D"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2.5±0.4</w:t>
            </w:r>
          </w:p>
        </w:tc>
        <w:tc>
          <w:tcPr>
            <w:tcW w:w="737" w:type="dxa"/>
            <w:shd w:val="clear" w:color="auto" w:fill="auto"/>
            <w:noWrap/>
            <w:vAlign w:val="center"/>
            <w:hideMark/>
          </w:tcPr>
          <w:p w14:paraId="48E6D40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2.1±1.1</w:t>
            </w:r>
          </w:p>
        </w:tc>
        <w:tc>
          <w:tcPr>
            <w:tcW w:w="737" w:type="dxa"/>
            <w:shd w:val="clear" w:color="auto" w:fill="auto"/>
            <w:noWrap/>
            <w:vAlign w:val="center"/>
            <w:hideMark/>
          </w:tcPr>
          <w:p w14:paraId="5A609184"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2.3±0.7</w:t>
            </w:r>
          </w:p>
        </w:tc>
        <w:tc>
          <w:tcPr>
            <w:tcW w:w="737" w:type="dxa"/>
            <w:shd w:val="clear" w:color="auto" w:fill="auto"/>
            <w:noWrap/>
            <w:vAlign w:val="center"/>
            <w:hideMark/>
          </w:tcPr>
          <w:p w14:paraId="45BB5CA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2.4±0.6</w:t>
            </w:r>
          </w:p>
        </w:tc>
        <w:tc>
          <w:tcPr>
            <w:tcW w:w="737" w:type="dxa"/>
            <w:shd w:val="clear" w:color="auto" w:fill="auto"/>
            <w:noWrap/>
            <w:vAlign w:val="center"/>
            <w:hideMark/>
          </w:tcPr>
          <w:p w14:paraId="3FDE5B7E"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2.1±0.5</w:t>
            </w:r>
          </w:p>
        </w:tc>
        <w:tc>
          <w:tcPr>
            <w:tcW w:w="737" w:type="dxa"/>
            <w:shd w:val="clear" w:color="auto" w:fill="auto"/>
            <w:noWrap/>
            <w:vAlign w:val="center"/>
            <w:hideMark/>
          </w:tcPr>
          <w:p w14:paraId="5068CF0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2.4±0.5</w:t>
            </w:r>
          </w:p>
        </w:tc>
        <w:tc>
          <w:tcPr>
            <w:tcW w:w="737" w:type="dxa"/>
            <w:shd w:val="clear" w:color="auto" w:fill="auto"/>
            <w:noWrap/>
            <w:vAlign w:val="center"/>
            <w:hideMark/>
          </w:tcPr>
          <w:p w14:paraId="5FDB5313"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1.9±0.5</w:t>
            </w:r>
          </w:p>
        </w:tc>
        <w:tc>
          <w:tcPr>
            <w:tcW w:w="737" w:type="dxa"/>
            <w:shd w:val="clear" w:color="auto" w:fill="auto"/>
            <w:noWrap/>
            <w:vAlign w:val="center"/>
            <w:hideMark/>
          </w:tcPr>
          <w:p w14:paraId="7C0EF2B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1.7±0.3</w:t>
            </w:r>
          </w:p>
        </w:tc>
        <w:tc>
          <w:tcPr>
            <w:tcW w:w="737" w:type="dxa"/>
            <w:tcBorders>
              <w:right w:val="single" w:sz="4" w:space="0" w:color="auto"/>
            </w:tcBorders>
            <w:shd w:val="clear" w:color="auto" w:fill="auto"/>
            <w:noWrap/>
            <w:vAlign w:val="center"/>
            <w:hideMark/>
          </w:tcPr>
          <w:p w14:paraId="648154A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1.9±0.6</w:t>
            </w:r>
          </w:p>
        </w:tc>
        <w:tc>
          <w:tcPr>
            <w:tcW w:w="737" w:type="dxa"/>
            <w:tcBorders>
              <w:left w:val="single" w:sz="4" w:space="0" w:color="auto"/>
            </w:tcBorders>
            <w:shd w:val="clear" w:color="auto" w:fill="auto"/>
            <w:noWrap/>
            <w:vAlign w:val="center"/>
            <w:hideMark/>
          </w:tcPr>
          <w:p w14:paraId="509886B8"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2.6±0.6</w:t>
            </w:r>
          </w:p>
        </w:tc>
        <w:tc>
          <w:tcPr>
            <w:tcW w:w="737" w:type="dxa"/>
            <w:shd w:val="clear" w:color="auto" w:fill="auto"/>
            <w:noWrap/>
            <w:vAlign w:val="center"/>
            <w:hideMark/>
          </w:tcPr>
          <w:p w14:paraId="06751FB5"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2.5±0.5</w:t>
            </w:r>
          </w:p>
        </w:tc>
        <w:tc>
          <w:tcPr>
            <w:tcW w:w="737" w:type="dxa"/>
            <w:shd w:val="clear" w:color="auto" w:fill="auto"/>
            <w:noWrap/>
            <w:vAlign w:val="center"/>
            <w:hideMark/>
          </w:tcPr>
          <w:p w14:paraId="564E149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2.4±0.7</w:t>
            </w:r>
          </w:p>
        </w:tc>
        <w:tc>
          <w:tcPr>
            <w:tcW w:w="737" w:type="dxa"/>
            <w:shd w:val="clear" w:color="auto" w:fill="auto"/>
            <w:noWrap/>
            <w:vAlign w:val="center"/>
            <w:hideMark/>
          </w:tcPr>
          <w:p w14:paraId="0C7869F4"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2.4±0.7</w:t>
            </w:r>
          </w:p>
        </w:tc>
        <w:tc>
          <w:tcPr>
            <w:tcW w:w="737" w:type="dxa"/>
            <w:shd w:val="clear" w:color="auto" w:fill="auto"/>
            <w:noWrap/>
            <w:vAlign w:val="center"/>
            <w:hideMark/>
          </w:tcPr>
          <w:p w14:paraId="0285769C"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2.2±0.8</w:t>
            </w:r>
          </w:p>
        </w:tc>
        <w:tc>
          <w:tcPr>
            <w:tcW w:w="737" w:type="dxa"/>
            <w:shd w:val="clear" w:color="auto" w:fill="auto"/>
            <w:noWrap/>
            <w:vAlign w:val="center"/>
            <w:hideMark/>
          </w:tcPr>
          <w:p w14:paraId="5523DE4A"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2.8±1.9</w:t>
            </w:r>
          </w:p>
        </w:tc>
        <w:tc>
          <w:tcPr>
            <w:tcW w:w="737" w:type="dxa"/>
            <w:shd w:val="clear" w:color="auto" w:fill="auto"/>
            <w:noWrap/>
            <w:vAlign w:val="center"/>
            <w:hideMark/>
          </w:tcPr>
          <w:p w14:paraId="5C13AFC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1.6±0.3</w:t>
            </w:r>
          </w:p>
        </w:tc>
        <w:tc>
          <w:tcPr>
            <w:tcW w:w="737" w:type="dxa"/>
            <w:shd w:val="clear" w:color="auto" w:fill="auto"/>
            <w:noWrap/>
            <w:vAlign w:val="center"/>
            <w:hideMark/>
          </w:tcPr>
          <w:p w14:paraId="7A4A34A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1.8±0.6</w:t>
            </w:r>
          </w:p>
        </w:tc>
        <w:tc>
          <w:tcPr>
            <w:tcW w:w="737" w:type="dxa"/>
            <w:shd w:val="clear" w:color="auto" w:fill="auto"/>
            <w:noWrap/>
            <w:vAlign w:val="center"/>
            <w:hideMark/>
          </w:tcPr>
          <w:p w14:paraId="0BD418E9"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1.9±0.6</w:t>
            </w:r>
          </w:p>
        </w:tc>
      </w:tr>
      <w:tr w:rsidR="009570AC" w:rsidRPr="009570AC" w14:paraId="5EC0819D" w14:textId="77777777" w:rsidTr="00AB7FC9">
        <w:trPr>
          <w:trHeight w:val="315"/>
          <w:jc w:val="center"/>
        </w:trPr>
        <w:tc>
          <w:tcPr>
            <w:tcW w:w="1361" w:type="dxa"/>
            <w:tcBorders>
              <w:bottom w:val="single" w:sz="4" w:space="0" w:color="auto"/>
              <w:right w:val="single" w:sz="4" w:space="0" w:color="auto"/>
            </w:tcBorders>
            <w:shd w:val="clear" w:color="auto" w:fill="auto"/>
            <w:vAlign w:val="center"/>
            <w:hideMark/>
          </w:tcPr>
          <w:p w14:paraId="53F9B5F8" w14:textId="77777777" w:rsidR="00367616" w:rsidRPr="009570AC" w:rsidRDefault="00367616" w:rsidP="009570AC">
            <w:pPr>
              <w:ind w:left="142"/>
              <w:rPr>
                <w:rFonts w:eastAsia="Times New Roman"/>
                <w:color w:val="000000"/>
                <w:sz w:val="14"/>
                <w:szCs w:val="14"/>
                <w:lang w:eastAsia="it-IT"/>
              </w:rPr>
            </w:pPr>
            <w:r w:rsidRPr="009570AC">
              <w:rPr>
                <w:rFonts w:eastAsia="Times New Roman"/>
                <w:color w:val="000000"/>
                <w:sz w:val="14"/>
                <w:szCs w:val="14"/>
                <w:lang w:eastAsia="it-IT"/>
              </w:rPr>
              <w:t>Glucose [mmol/L]</w:t>
            </w:r>
          </w:p>
        </w:tc>
        <w:tc>
          <w:tcPr>
            <w:tcW w:w="737" w:type="dxa"/>
            <w:tcBorders>
              <w:left w:val="single" w:sz="4" w:space="0" w:color="auto"/>
              <w:bottom w:val="single" w:sz="4" w:space="0" w:color="auto"/>
            </w:tcBorders>
            <w:shd w:val="clear" w:color="auto" w:fill="auto"/>
            <w:noWrap/>
            <w:vAlign w:val="center"/>
            <w:hideMark/>
          </w:tcPr>
          <w:p w14:paraId="2DC6BF17"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5.2±0.5</w:t>
            </w:r>
          </w:p>
        </w:tc>
        <w:tc>
          <w:tcPr>
            <w:tcW w:w="737" w:type="dxa"/>
            <w:tcBorders>
              <w:bottom w:val="single" w:sz="4" w:space="0" w:color="auto"/>
            </w:tcBorders>
            <w:shd w:val="clear" w:color="auto" w:fill="auto"/>
            <w:noWrap/>
            <w:vAlign w:val="center"/>
            <w:hideMark/>
          </w:tcPr>
          <w:p w14:paraId="3C9DA096"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6.4±1.0</w:t>
            </w:r>
          </w:p>
        </w:tc>
        <w:tc>
          <w:tcPr>
            <w:tcW w:w="737" w:type="dxa"/>
            <w:tcBorders>
              <w:bottom w:val="single" w:sz="4" w:space="0" w:color="auto"/>
            </w:tcBorders>
            <w:shd w:val="clear" w:color="auto" w:fill="auto"/>
            <w:noWrap/>
            <w:vAlign w:val="center"/>
            <w:hideMark/>
          </w:tcPr>
          <w:p w14:paraId="06265C0F"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7.7±1.9</w:t>
            </w:r>
          </w:p>
        </w:tc>
        <w:tc>
          <w:tcPr>
            <w:tcW w:w="737" w:type="dxa"/>
            <w:tcBorders>
              <w:bottom w:val="single" w:sz="4" w:space="0" w:color="auto"/>
            </w:tcBorders>
            <w:shd w:val="clear" w:color="auto" w:fill="auto"/>
            <w:noWrap/>
            <w:vAlign w:val="center"/>
            <w:hideMark/>
          </w:tcPr>
          <w:p w14:paraId="08A65C75"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7.5±1.2</w:t>
            </w:r>
          </w:p>
        </w:tc>
        <w:tc>
          <w:tcPr>
            <w:tcW w:w="737" w:type="dxa"/>
            <w:tcBorders>
              <w:bottom w:val="single" w:sz="4" w:space="0" w:color="auto"/>
            </w:tcBorders>
            <w:shd w:val="clear" w:color="auto" w:fill="auto"/>
            <w:noWrap/>
            <w:vAlign w:val="center"/>
            <w:hideMark/>
          </w:tcPr>
          <w:p w14:paraId="7135A00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8.3±2.1</w:t>
            </w:r>
          </w:p>
        </w:tc>
        <w:tc>
          <w:tcPr>
            <w:tcW w:w="737" w:type="dxa"/>
            <w:tcBorders>
              <w:bottom w:val="single" w:sz="4" w:space="0" w:color="auto"/>
            </w:tcBorders>
            <w:shd w:val="clear" w:color="auto" w:fill="auto"/>
            <w:noWrap/>
            <w:vAlign w:val="center"/>
            <w:hideMark/>
          </w:tcPr>
          <w:p w14:paraId="3149679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8.7±1.8</w:t>
            </w:r>
          </w:p>
        </w:tc>
        <w:tc>
          <w:tcPr>
            <w:tcW w:w="737" w:type="dxa"/>
            <w:tcBorders>
              <w:bottom w:val="single" w:sz="4" w:space="0" w:color="auto"/>
            </w:tcBorders>
            <w:shd w:val="clear" w:color="auto" w:fill="auto"/>
            <w:noWrap/>
            <w:vAlign w:val="center"/>
            <w:hideMark/>
          </w:tcPr>
          <w:p w14:paraId="6816E78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5.1±0.6</w:t>
            </w:r>
          </w:p>
        </w:tc>
        <w:tc>
          <w:tcPr>
            <w:tcW w:w="737" w:type="dxa"/>
            <w:tcBorders>
              <w:bottom w:val="single" w:sz="4" w:space="0" w:color="auto"/>
            </w:tcBorders>
            <w:shd w:val="clear" w:color="auto" w:fill="auto"/>
            <w:noWrap/>
            <w:vAlign w:val="center"/>
            <w:hideMark/>
          </w:tcPr>
          <w:p w14:paraId="51BD6602"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5.1±0.7</w:t>
            </w:r>
          </w:p>
        </w:tc>
        <w:tc>
          <w:tcPr>
            <w:tcW w:w="737" w:type="dxa"/>
            <w:tcBorders>
              <w:bottom w:val="single" w:sz="4" w:space="0" w:color="auto"/>
              <w:right w:val="single" w:sz="4" w:space="0" w:color="auto"/>
            </w:tcBorders>
            <w:shd w:val="clear" w:color="auto" w:fill="auto"/>
            <w:noWrap/>
            <w:vAlign w:val="center"/>
            <w:hideMark/>
          </w:tcPr>
          <w:p w14:paraId="69FF4280"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5.1±0.4</w:t>
            </w:r>
          </w:p>
        </w:tc>
        <w:tc>
          <w:tcPr>
            <w:tcW w:w="737" w:type="dxa"/>
            <w:tcBorders>
              <w:left w:val="single" w:sz="4" w:space="0" w:color="auto"/>
              <w:bottom w:val="single" w:sz="4" w:space="0" w:color="auto"/>
            </w:tcBorders>
            <w:shd w:val="clear" w:color="auto" w:fill="auto"/>
            <w:noWrap/>
            <w:vAlign w:val="center"/>
            <w:hideMark/>
          </w:tcPr>
          <w:p w14:paraId="00A7184C" w14:textId="77777777" w:rsidR="00367616" w:rsidRPr="009570AC" w:rsidRDefault="00367616" w:rsidP="009570AC">
            <w:pPr>
              <w:ind w:left="-49"/>
              <w:jc w:val="center"/>
              <w:rPr>
                <w:rFonts w:eastAsia="Times New Roman"/>
                <w:color w:val="000000"/>
                <w:sz w:val="14"/>
                <w:szCs w:val="14"/>
                <w:lang w:eastAsia="it-IT"/>
              </w:rPr>
            </w:pPr>
            <w:r w:rsidRPr="009570AC">
              <w:rPr>
                <w:rFonts w:eastAsia="Times New Roman"/>
                <w:color w:val="000000"/>
                <w:sz w:val="14"/>
                <w:szCs w:val="14"/>
                <w:lang w:eastAsia="it-IT"/>
              </w:rPr>
              <w:t>6.1±1.7</w:t>
            </w:r>
          </w:p>
        </w:tc>
        <w:tc>
          <w:tcPr>
            <w:tcW w:w="737" w:type="dxa"/>
            <w:tcBorders>
              <w:bottom w:val="single" w:sz="4" w:space="0" w:color="auto"/>
            </w:tcBorders>
            <w:shd w:val="clear" w:color="auto" w:fill="auto"/>
            <w:noWrap/>
            <w:vAlign w:val="center"/>
            <w:hideMark/>
          </w:tcPr>
          <w:p w14:paraId="255BCF63" w14:textId="77777777" w:rsidR="00367616" w:rsidRPr="009570AC" w:rsidRDefault="00367616" w:rsidP="009570AC">
            <w:pPr>
              <w:ind w:left="-30"/>
              <w:jc w:val="center"/>
              <w:rPr>
                <w:rFonts w:eastAsia="Times New Roman"/>
                <w:color w:val="000000"/>
                <w:sz w:val="14"/>
                <w:szCs w:val="14"/>
                <w:lang w:eastAsia="it-IT"/>
              </w:rPr>
            </w:pPr>
            <w:r w:rsidRPr="009570AC">
              <w:rPr>
                <w:rFonts w:eastAsia="Times New Roman"/>
                <w:color w:val="000000"/>
                <w:sz w:val="14"/>
                <w:szCs w:val="14"/>
                <w:lang w:eastAsia="it-IT"/>
              </w:rPr>
              <w:t>6.6±1.1</w:t>
            </w:r>
          </w:p>
        </w:tc>
        <w:tc>
          <w:tcPr>
            <w:tcW w:w="737" w:type="dxa"/>
            <w:tcBorders>
              <w:bottom w:val="single" w:sz="4" w:space="0" w:color="auto"/>
            </w:tcBorders>
            <w:shd w:val="clear" w:color="auto" w:fill="auto"/>
            <w:noWrap/>
            <w:vAlign w:val="center"/>
            <w:hideMark/>
          </w:tcPr>
          <w:p w14:paraId="4E2FD026"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8.7±1.0</w:t>
            </w:r>
          </w:p>
        </w:tc>
        <w:tc>
          <w:tcPr>
            <w:tcW w:w="737" w:type="dxa"/>
            <w:tcBorders>
              <w:bottom w:val="single" w:sz="4" w:space="0" w:color="auto"/>
            </w:tcBorders>
            <w:shd w:val="clear" w:color="auto" w:fill="auto"/>
            <w:noWrap/>
            <w:vAlign w:val="center"/>
            <w:hideMark/>
          </w:tcPr>
          <w:p w14:paraId="1B511637" w14:textId="77777777" w:rsidR="00367616" w:rsidRPr="009570AC" w:rsidRDefault="00367616" w:rsidP="009570AC">
            <w:pPr>
              <w:ind w:left="-9"/>
              <w:jc w:val="center"/>
              <w:rPr>
                <w:rFonts w:eastAsia="Times New Roman"/>
                <w:color w:val="000000"/>
                <w:sz w:val="14"/>
                <w:szCs w:val="14"/>
                <w:lang w:eastAsia="it-IT"/>
              </w:rPr>
            </w:pPr>
            <w:r w:rsidRPr="009570AC">
              <w:rPr>
                <w:rFonts w:eastAsia="Times New Roman"/>
                <w:color w:val="000000"/>
                <w:sz w:val="14"/>
                <w:szCs w:val="14"/>
                <w:lang w:eastAsia="it-IT"/>
              </w:rPr>
              <w:t>8.4±1.2</w:t>
            </w:r>
          </w:p>
        </w:tc>
        <w:tc>
          <w:tcPr>
            <w:tcW w:w="737" w:type="dxa"/>
            <w:tcBorders>
              <w:bottom w:val="single" w:sz="4" w:space="0" w:color="auto"/>
            </w:tcBorders>
            <w:shd w:val="clear" w:color="auto" w:fill="auto"/>
            <w:noWrap/>
            <w:vAlign w:val="center"/>
            <w:hideMark/>
          </w:tcPr>
          <w:p w14:paraId="10CDF408"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8.5±1.1</w:t>
            </w:r>
          </w:p>
        </w:tc>
        <w:tc>
          <w:tcPr>
            <w:tcW w:w="737" w:type="dxa"/>
            <w:tcBorders>
              <w:bottom w:val="single" w:sz="4" w:space="0" w:color="auto"/>
            </w:tcBorders>
            <w:shd w:val="clear" w:color="auto" w:fill="auto"/>
            <w:noWrap/>
            <w:vAlign w:val="center"/>
            <w:hideMark/>
          </w:tcPr>
          <w:p w14:paraId="48178549"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7.8±1.5</w:t>
            </w:r>
          </w:p>
        </w:tc>
        <w:tc>
          <w:tcPr>
            <w:tcW w:w="737" w:type="dxa"/>
            <w:tcBorders>
              <w:bottom w:val="single" w:sz="4" w:space="0" w:color="auto"/>
            </w:tcBorders>
            <w:shd w:val="clear" w:color="auto" w:fill="auto"/>
            <w:noWrap/>
            <w:vAlign w:val="center"/>
            <w:hideMark/>
          </w:tcPr>
          <w:p w14:paraId="49612C1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4.9±1.0</w:t>
            </w:r>
          </w:p>
        </w:tc>
        <w:tc>
          <w:tcPr>
            <w:tcW w:w="737" w:type="dxa"/>
            <w:tcBorders>
              <w:bottom w:val="single" w:sz="4" w:space="0" w:color="auto"/>
            </w:tcBorders>
            <w:shd w:val="clear" w:color="auto" w:fill="auto"/>
            <w:noWrap/>
            <w:vAlign w:val="center"/>
            <w:hideMark/>
          </w:tcPr>
          <w:p w14:paraId="2FE46D41" w14:textId="77777777" w:rsidR="00367616" w:rsidRPr="009570AC" w:rsidRDefault="00367616" w:rsidP="009570AC">
            <w:pPr>
              <w:jc w:val="center"/>
              <w:rPr>
                <w:rFonts w:eastAsia="Times New Roman"/>
                <w:color w:val="000000"/>
                <w:sz w:val="14"/>
                <w:szCs w:val="14"/>
                <w:lang w:eastAsia="it-IT"/>
              </w:rPr>
            </w:pPr>
            <w:r w:rsidRPr="009570AC">
              <w:rPr>
                <w:rFonts w:eastAsia="Times New Roman"/>
                <w:color w:val="000000"/>
                <w:sz w:val="14"/>
                <w:szCs w:val="14"/>
                <w:lang w:eastAsia="it-IT"/>
              </w:rPr>
              <w:t>5.2±0.7</w:t>
            </w:r>
          </w:p>
        </w:tc>
        <w:tc>
          <w:tcPr>
            <w:tcW w:w="737" w:type="dxa"/>
            <w:tcBorders>
              <w:bottom w:val="single" w:sz="4" w:space="0" w:color="auto"/>
            </w:tcBorders>
            <w:shd w:val="clear" w:color="auto" w:fill="auto"/>
            <w:noWrap/>
            <w:vAlign w:val="center"/>
            <w:hideMark/>
          </w:tcPr>
          <w:p w14:paraId="694031B9" w14:textId="77777777" w:rsidR="00367616" w:rsidRPr="009570AC" w:rsidRDefault="00367616" w:rsidP="009570AC">
            <w:pPr>
              <w:ind w:left="18"/>
              <w:jc w:val="center"/>
              <w:rPr>
                <w:rFonts w:eastAsia="Times New Roman"/>
                <w:color w:val="000000"/>
                <w:sz w:val="14"/>
                <w:szCs w:val="14"/>
                <w:lang w:eastAsia="it-IT"/>
              </w:rPr>
            </w:pPr>
            <w:r w:rsidRPr="009570AC">
              <w:rPr>
                <w:rFonts w:eastAsia="Times New Roman"/>
                <w:color w:val="000000"/>
                <w:sz w:val="14"/>
                <w:szCs w:val="14"/>
                <w:lang w:eastAsia="it-IT"/>
              </w:rPr>
              <w:t>5.0±0.5</w:t>
            </w:r>
          </w:p>
        </w:tc>
      </w:tr>
    </w:tbl>
    <w:p w14:paraId="1A394419" w14:textId="77777777" w:rsidR="00367616" w:rsidRDefault="00367616" w:rsidP="00050EEC">
      <w:pPr>
        <w:pStyle w:val="title1"/>
        <w:shd w:val="clear" w:color="auto" w:fill="FFFFFF"/>
        <w:ind w:left="720" w:hanging="720"/>
        <w:rPr>
          <w:sz w:val="24"/>
          <w:szCs w:val="24"/>
        </w:rPr>
      </w:pPr>
    </w:p>
    <w:p w14:paraId="21F62151" w14:textId="77777777" w:rsidR="005E507D" w:rsidRDefault="005E507D" w:rsidP="00050EEC">
      <w:pPr>
        <w:pStyle w:val="title1"/>
        <w:shd w:val="clear" w:color="auto" w:fill="FFFFFF"/>
        <w:ind w:left="720" w:hanging="720"/>
        <w:rPr>
          <w:sz w:val="24"/>
          <w:szCs w:val="24"/>
        </w:rPr>
        <w:sectPr w:rsidR="005E507D" w:rsidSect="00895F31">
          <w:pgSz w:w="16840" w:h="11907" w:orient="landscape" w:code="9"/>
          <w:pgMar w:top="1418" w:right="1418" w:bottom="1418" w:left="1418" w:header="720" w:footer="720" w:gutter="0"/>
          <w:lnNumType w:countBy="1" w:start="421" w:restart="continuous"/>
          <w:cols w:space="720"/>
          <w:docGrid w:linePitch="360"/>
        </w:sectPr>
      </w:pPr>
    </w:p>
    <w:p w14:paraId="7A68D6AC" w14:textId="77777777" w:rsidR="0064588F" w:rsidRDefault="00426080" w:rsidP="00600095">
      <w:pPr>
        <w:spacing w:after="200" w:line="276" w:lineRule="auto"/>
        <w:outlineLvl w:val="0"/>
        <w:rPr>
          <w:b/>
        </w:rPr>
      </w:pPr>
      <w:r w:rsidRPr="00E32F69">
        <w:rPr>
          <w:b/>
        </w:rPr>
        <w:lastRenderedPageBreak/>
        <w:t>Table 2</w:t>
      </w:r>
    </w:p>
    <w:p w14:paraId="6792F46D" w14:textId="0F184B1A" w:rsidR="00A62BCA" w:rsidRDefault="00D33E7E" w:rsidP="00522CC5">
      <w:pPr>
        <w:widowControl w:val="0"/>
        <w:autoSpaceDE w:val="0"/>
        <w:autoSpaceDN w:val="0"/>
        <w:adjustRightInd w:val="0"/>
        <w:spacing w:line="480" w:lineRule="auto"/>
      </w:pPr>
      <w:r w:rsidRPr="00D33E7E">
        <w:t xml:space="preserve">Mean </w:t>
      </w:r>
      <w:r w:rsidR="008C2675" w:rsidRPr="00D33E7E">
        <w:t>±</w:t>
      </w:r>
      <w:r w:rsidR="008C2675">
        <w:t xml:space="preserve"> </w:t>
      </w:r>
      <w:r w:rsidRPr="00D33E7E">
        <w:t xml:space="preserve">standard deviation of pharmacokinetic variables for ketamine and norketamine enantiomers in plasma samples obtained from 6 dogs that received an intravenous bolus of S-ketamine (S-KET) or racemic ketamine (RS-KET). AUC0→∞ (area under the curve to infinity); </w:t>
      </w:r>
      <w:r w:rsidR="007739A5" w:rsidRPr="007739A5">
        <w:t>T</w:t>
      </w:r>
      <w:r w:rsidR="007739A5" w:rsidRPr="009C2DEB">
        <w:rPr>
          <w:vertAlign w:val="subscript"/>
        </w:rPr>
        <w:t>1/2dis</w:t>
      </w:r>
      <w:r w:rsidR="007739A5" w:rsidRPr="007739A5">
        <w:t xml:space="preserve"> (half-life of the </w:t>
      </w:r>
      <w:r w:rsidR="007739A5">
        <w:t>distribu</w:t>
      </w:r>
      <w:r w:rsidR="007739A5" w:rsidRPr="007739A5">
        <w:t xml:space="preserve">tion phase); </w:t>
      </w:r>
      <w:r w:rsidRPr="00D33E7E">
        <w:t>T</w:t>
      </w:r>
      <w:r w:rsidRPr="009C2DEB">
        <w:rPr>
          <w:vertAlign w:val="subscript"/>
        </w:rPr>
        <w:t>1/2el</w:t>
      </w:r>
      <w:r w:rsidRPr="00D33E7E">
        <w:t xml:space="preserve"> (half</w:t>
      </w:r>
      <w:r w:rsidR="008C2675">
        <w:t>-</w:t>
      </w:r>
      <w:r w:rsidRPr="00D33E7E">
        <w:t>life of the elimination phase); K</w:t>
      </w:r>
      <w:r w:rsidRPr="009C2DEB">
        <w:rPr>
          <w:vertAlign w:val="subscript"/>
        </w:rPr>
        <w:t>el</w:t>
      </w:r>
      <w:r w:rsidRPr="00D33E7E">
        <w:t xml:space="preserve"> (rate constants of the elimination phase); MRT (mean residence time); Cl</w:t>
      </w:r>
      <w:r w:rsidRPr="009C2DEB">
        <w:rPr>
          <w:vertAlign w:val="subscript"/>
        </w:rPr>
        <w:t>B</w:t>
      </w:r>
      <w:r w:rsidRPr="00D33E7E">
        <w:t xml:space="preserve"> (body clearance); V</w:t>
      </w:r>
      <w:r w:rsidRPr="009C2DEB">
        <w:rPr>
          <w:vertAlign w:val="subscript"/>
        </w:rPr>
        <w:t>c</w:t>
      </w:r>
      <w:r w:rsidRPr="00D33E7E">
        <w:t xml:space="preserve"> (volume of distribution for the central compartment); C</w:t>
      </w:r>
      <w:r w:rsidRPr="009C2DEB">
        <w:rPr>
          <w:vertAlign w:val="subscript"/>
        </w:rPr>
        <w:t>max</w:t>
      </w:r>
      <w:r w:rsidRPr="00D33E7E">
        <w:t xml:space="preserve"> (peak concentration); T</w:t>
      </w:r>
      <w:r w:rsidRPr="009C2DEB">
        <w:rPr>
          <w:vertAlign w:val="subscript"/>
        </w:rPr>
        <w:t>max</w:t>
      </w:r>
      <w:r w:rsidRPr="00D33E7E">
        <w:t xml:space="preserve"> (time of peak concentration).</w:t>
      </w:r>
    </w:p>
    <w:p w14:paraId="230071CF" w14:textId="55849728" w:rsidR="00D33E7E" w:rsidRDefault="00A62BCA" w:rsidP="00522CC5">
      <w:pPr>
        <w:widowControl w:val="0"/>
        <w:autoSpaceDE w:val="0"/>
        <w:autoSpaceDN w:val="0"/>
        <w:adjustRightInd w:val="0"/>
        <w:spacing w:line="480" w:lineRule="auto"/>
      </w:pPr>
      <w:r w:rsidRPr="00A62BCA">
        <w:rPr>
          <w:vertAlign w:val="superscript"/>
        </w:rPr>
        <w:t>a</w:t>
      </w:r>
      <w:r>
        <w:t xml:space="preserve"> </w:t>
      </w:r>
      <w:r w:rsidR="00D33E7E" w:rsidRPr="00D33E7E">
        <w:t xml:space="preserve">P&lt;0.05 </w:t>
      </w:r>
      <w:r>
        <w:t xml:space="preserve">between the two treatment groups; </w:t>
      </w:r>
      <w:r w:rsidRPr="00A62BCA">
        <w:rPr>
          <w:vertAlign w:val="superscript"/>
        </w:rPr>
        <w:t>b</w:t>
      </w:r>
      <w:r>
        <w:t xml:space="preserve"> P&lt;0.05 </w:t>
      </w:r>
      <w:r w:rsidR="00D33E7E" w:rsidRPr="00D33E7E">
        <w:t>between enantiomers within the RS-KET group</w:t>
      </w:r>
      <w:r>
        <w:t>.</w:t>
      </w:r>
    </w:p>
    <w:p w14:paraId="631AC646" w14:textId="77777777" w:rsidR="005879F6" w:rsidRPr="00D20774" w:rsidRDefault="005879F6" w:rsidP="00522CC5">
      <w:pPr>
        <w:widowControl w:val="0"/>
        <w:autoSpaceDE w:val="0"/>
        <w:autoSpaceDN w:val="0"/>
        <w:adjustRightInd w:val="0"/>
        <w:spacing w:line="480" w:lineRule="auto"/>
      </w:pPr>
    </w:p>
    <w:tbl>
      <w:tblPr>
        <w:tblStyle w:val="Grigliatabella"/>
        <w:tblW w:w="5055" w:type="pct"/>
        <w:tblLook w:val="04A0" w:firstRow="1" w:lastRow="0" w:firstColumn="1" w:lastColumn="0" w:noHBand="0" w:noVBand="1"/>
      </w:tblPr>
      <w:tblGrid>
        <w:gridCol w:w="2140"/>
        <w:gridCol w:w="339"/>
        <w:gridCol w:w="1996"/>
        <w:gridCol w:w="338"/>
        <w:gridCol w:w="1998"/>
        <w:gridCol w:w="582"/>
        <w:gridCol w:w="1996"/>
      </w:tblGrid>
      <w:tr w:rsidR="00D33E7E" w:rsidRPr="002B128D" w14:paraId="0193E761" w14:textId="77777777" w:rsidTr="00816178">
        <w:trPr>
          <w:trHeight w:val="397"/>
        </w:trPr>
        <w:tc>
          <w:tcPr>
            <w:tcW w:w="1139" w:type="pct"/>
            <w:tcBorders>
              <w:top w:val="single" w:sz="4" w:space="0" w:color="auto"/>
              <w:left w:val="nil"/>
              <w:bottom w:val="nil"/>
              <w:right w:val="nil"/>
            </w:tcBorders>
            <w:vAlign w:val="center"/>
          </w:tcPr>
          <w:p w14:paraId="15354E7D" w14:textId="77777777" w:rsidR="00D33E7E" w:rsidRPr="002B128D" w:rsidRDefault="00D33E7E" w:rsidP="00816178">
            <w:pPr>
              <w:rPr>
                <w:sz w:val="20"/>
                <w:szCs w:val="20"/>
                <w:lang w:val="en-GB"/>
              </w:rPr>
            </w:pPr>
            <w:r w:rsidRPr="002B128D">
              <w:rPr>
                <w:sz w:val="20"/>
                <w:szCs w:val="20"/>
                <w:lang w:val="en-GB"/>
              </w:rPr>
              <w:t>Group</w:t>
            </w:r>
          </w:p>
        </w:tc>
        <w:tc>
          <w:tcPr>
            <w:tcW w:w="180" w:type="pct"/>
            <w:tcBorders>
              <w:top w:val="single" w:sz="4" w:space="0" w:color="auto"/>
              <w:left w:val="nil"/>
              <w:bottom w:val="nil"/>
              <w:right w:val="nil"/>
            </w:tcBorders>
            <w:vAlign w:val="center"/>
          </w:tcPr>
          <w:p w14:paraId="3910C9D5" w14:textId="77777777" w:rsidR="00D33E7E" w:rsidRPr="002B128D" w:rsidRDefault="00D33E7E" w:rsidP="00816178">
            <w:pPr>
              <w:jc w:val="center"/>
              <w:rPr>
                <w:sz w:val="20"/>
                <w:szCs w:val="20"/>
                <w:lang w:val="en-GB"/>
              </w:rPr>
            </w:pPr>
          </w:p>
        </w:tc>
        <w:tc>
          <w:tcPr>
            <w:tcW w:w="1063" w:type="pct"/>
            <w:tcBorders>
              <w:top w:val="single" w:sz="4" w:space="0" w:color="auto"/>
              <w:left w:val="nil"/>
              <w:bottom w:val="nil"/>
              <w:right w:val="nil"/>
            </w:tcBorders>
            <w:vAlign w:val="center"/>
          </w:tcPr>
          <w:p w14:paraId="541BC19A" w14:textId="77777777" w:rsidR="00D33E7E" w:rsidRPr="002B128D" w:rsidRDefault="00D33E7E" w:rsidP="00816178">
            <w:pPr>
              <w:jc w:val="center"/>
              <w:rPr>
                <w:sz w:val="20"/>
                <w:szCs w:val="20"/>
                <w:lang w:val="en-GB"/>
              </w:rPr>
            </w:pPr>
            <w:r w:rsidRPr="002B128D">
              <w:rPr>
                <w:sz w:val="20"/>
                <w:szCs w:val="20"/>
                <w:lang w:val="en-GB"/>
              </w:rPr>
              <w:t>S-KET</w:t>
            </w:r>
          </w:p>
        </w:tc>
        <w:tc>
          <w:tcPr>
            <w:tcW w:w="180" w:type="pct"/>
            <w:tcBorders>
              <w:top w:val="single" w:sz="4" w:space="0" w:color="auto"/>
              <w:left w:val="nil"/>
              <w:bottom w:val="nil"/>
              <w:right w:val="nil"/>
            </w:tcBorders>
            <w:vAlign w:val="center"/>
          </w:tcPr>
          <w:p w14:paraId="47DF06E3" w14:textId="77777777" w:rsidR="00D33E7E" w:rsidRPr="002B128D" w:rsidRDefault="00D33E7E" w:rsidP="00816178">
            <w:pPr>
              <w:jc w:val="center"/>
              <w:rPr>
                <w:sz w:val="20"/>
                <w:szCs w:val="20"/>
                <w:lang w:val="en-GB"/>
              </w:rPr>
            </w:pPr>
          </w:p>
        </w:tc>
        <w:tc>
          <w:tcPr>
            <w:tcW w:w="2437" w:type="pct"/>
            <w:gridSpan w:val="3"/>
            <w:tcBorders>
              <w:top w:val="single" w:sz="4" w:space="0" w:color="auto"/>
              <w:left w:val="nil"/>
              <w:bottom w:val="single" w:sz="4" w:space="0" w:color="auto"/>
              <w:right w:val="nil"/>
            </w:tcBorders>
            <w:vAlign w:val="center"/>
          </w:tcPr>
          <w:p w14:paraId="5218196A" w14:textId="77777777" w:rsidR="00D33E7E" w:rsidRPr="002B128D" w:rsidRDefault="00D33E7E" w:rsidP="00816178">
            <w:pPr>
              <w:jc w:val="center"/>
              <w:rPr>
                <w:sz w:val="20"/>
                <w:szCs w:val="20"/>
                <w:lang w:val="en-GB"/>
              </w:rPr>
            </w:pPr>
            <w:r w:rsidRPr="002B128D">
              <w:rPr>
                <w:sz w:val="20"/>
                <w:szCs w:val="20"/>
                <w:lang w:val="en-GB"/>
              </w:rPr>
              <w:t>RS-KET</w:t>
            </w:r>
          </w:p>
        </w:tc>
      </w:tr>
      <w:tr w:rsidR="00D33E7E" w:rsidRPr="002B128D" w14:paraId="1446207E" w14:textId="77777777" w:rsidTr="00816178">
        <w:trPr>
          <w:trHeight w:val="397"/>
        </w:trPr>
        <w:tc>
          <w:tcPr>
            <w:tcW w:w="1139" w:type="pct"/>
            <w:tcBorders>
              <w:top w:val="nil"/>
              <w:left w:val="nil"/>
              <w:bottom w:val="single" w:sz="4" w:space="0" w:color="auto"/>
              <w:right w:val="nil"/>
            </w:tcBorders>
            <w:vAlign w:val="center"/>
          </w:tcPr>
          <w:p w14:paraId="22202EFC" w14:textId="77777777" w:rsidR="00D33E7E" w:rsidRPr="002B128D" w:rsidRDefault="00D33E7E" w:rsidP="00816178">
            <w:pPr>
              <w:rPr>
                <w:sz w:val="20"/>
                <w:szCs w:val="20"/>
                <w:lang w:val="en-GB"/>
              </w:rPr>
            </w:pPr>
            <w:r w:rsidRPr="002B128D">
              <w:rPr>
                <w:sz w:val="20"/>
                <w:szCs w:val="20"/>
                <w:lang w:val="en-GB"/>
              </w:rPr>
              <w:t>Compound</w:t>
            </w:r>
          </w:p>
        </w:tc>
        <w:tc>
          <w:tcPr>
            <w:tcW w:w="180" w:type="pct"/>
            <w:tcBorders>
              <w:top w:val="nil"/>
              <w:left w:val="nil"/>
              <w:bottom w:val="single" w:sz="4" w:space="0" w:color="auto"/>
              <w:right w:val="nil"/>
            </w:tcBorders>
            <w:vAlign w:val="center"/>
          </w:tcPr>
          <w:p w14:paraId="47B73C9C" w14:textId="77777777" w:rsidR="00D33E7E" w:rsidRPr="002B128D" w:rsidRDefault="00D33E7E" w:rsidP="00816178">
            <w:pPr>
              <w:jc w:val="center"/>
              <w:rPr>
                <w:sz w:val="20"/>
                <w:szCs w:val="20"/>
                <w:lang w:val="en-GB"/>
              </w:rPr>
            </w:pPr>
          </w:p>
        </w:tc>
        <w:tc>
          <w:tcPr>
            <w:tcW w:w="1063" w:type="pct"/>
            <w:tcBorders>
              <w:top w:val="nil"/>
              <w:left w:val="nil"/>
              <w:bottom w:val="single" w:sz="4" w:space="0" w:color="auto"/>
              <w:right w:val="nil"/>
            </w:tcBorders>
            <w:vAlign w:val="center"/>
          </w:tcPr>
          <w:p w14:paraId="5B9D0174" w14:textId="77777777" w:rsidR="00D33E7E" w:rsidRPr="002B128D" w:rsidRDefault="00D33E7E" w:rsidP="00816178">
            <w:pPr>
              <w:jc w:val="center"/>
              <w:rPr>
                <w:sz w:val="20"/>
                <w:szCs w:val="20"/>
                <w:lang w:val="en-GB"/>
              </w:rPr>
            </w:pPr>
            <w:r w:rsidRPr="002B128D">
              <w:rPr>
                <w:sz w:val="20"/>
                <w:szCs w:val="20"/>
                <w:lang w:val="en-GB"/>
              </w:rPr>
              <w:t>S-Ketamine</w:t>
            </w:r>
          </w:p>
        </w:tc>
        <w:tc>
          <w:tcPr>
            <w:tcW w:w="180" w:type="pct"/>
            <w:tcBorders>
              <w:top w:val="nil"/>
              <w:left w:val="nil"/>
              <w:bottom w:val="single" w:sz="4" w:space="0" w:color="auto"/>
              <w:right w:val="nil"/>
            </w:tcBorders>
            <w:vAlign w:val="center"/>
          </w:tcPr>
          <w:p w14:paraId="314D99F4" w14:textId="77777777" w:rsidR="00D33E7E" w:rsidRPr="002B128D" w:rsidRDefault="00D33E7E" w:rsidP="00816178">
            <w:pPr>
              <w:jc w:val="center"/>
              <w:rPr>
                <w:sz w:val="20"/>
                <w:szCs w:val="20"/>
                <w:lang w:val="en-GB"/>
              </w:rPr>
            </w:pPr>
          </w:p>
        </w:tc>
        <w:tc>
          <w:tcPr>
            <w:tcW w:w="1064" w:type="pct"/>
            <w:tcBorders>
              <w:top w:val="single" w:sz="4" w:space="0" w:color="auto"/>
              <w:left w:val="nil"/>
              <w:bottom w:val="single" w:sz="4" w:space="0" w:color="auto"/>
              <w:right w:val="nil"/>
            </w:tcBorders>
            <w:vAlign w:val="center"/>
          </w:tcPr>
          <w:p w14:paraId="0918052E" w14:textId="77777777" w:rsidR="00D33E7E" w:rsidRPr="002B128D" w:rsidRDefault="00D33E7E" w:rsidP="00816178">
            <w:pPr>
              <w:jc w:val="center"/>
              <w:rPr>
                <w:sz w:val="20"/>
                <w:szCs w:val="20"/>
                <w:lang w:val="en-GB"/>
              </w:rPr>
            </w:pPr>
            <w:r w:rsidRPr="002B128D">
              <w:rPr>
                <w:sz w:val="20"/>
                <w:szCs w:val="20"/>
                <w:lang w:val="en-GB"/>
              </w:rPr>
              <w:t>S-Ketamine</w:t>
            </w:r>
          </w:p>
        </w:tc>
        <w:tc>
          <w:tcPr>
            <w:tcW w:w="310" w:type="pct"/>
            <w:tcBorders>
              <w:top w:val="single" w:sz="4" w:space="0" w:color="auto"/>
              <w:left w:val="nil"/>
              <w:bottom w:val="single" w:sz="4" w:space="0" w:color="auto"/>
              <w:right w:val="nil"/>
            </w:tcBorders>
            <w:vAlign w:val="center"/>
          </w:tcPr>
          <w:p w14:paraId="798B5986" w14:textId="77777777" w:rsidR="00D33E7E" w:rsidRPr="002B128D" w:rsidRDefault="00D33E7E" w:rsidP="00816178">
            <w:pPr>
              <w:jc w:val="center"/>
              <w:rPr>
                <w:sz w:val="20"/>
                <w:szCs w:val="20"/>
                <w:lang w:val="en-GB"/>
              </w:rPr>
            </w:pPr>
          </w:p>
        </w:tc>
        <w:tc>
          <w:tcPr>
            <w:tcW w:w="1063" w:type="pct"/>
            <w:tcBorders>
              <w:top w:val="single" w:sz="4" w:space="0" w:color="auto"/>
              <w:left w:val="nil"/>
              <w:bottom w:val="single" w:sz="4" w:space="0" w:color="auto"/>
              <w:right w:val="nil"/>
            </w:tcBorders>
            <w:vAlign w:val="center"/>
          </w:tcPr>
          <w:p w14:paraId="71F66323" w14:textId="77777777" w:rsidR="00D33E7E" w:rsidRPr="002B128D" w:rsidRDefault="00D33E7E" w:rsidP="00816178">
            <w:pPr>
              <w:jc w:val="center"/>
              <w:rPr>
                <w:sz w:val="20"/>
                <w:szCs w:val="20"/>
                <w:lang w:val="en-GB"/>
              </w:rPr>
            </w:pPr>
            <w:r w:rsidRPr="002B128D">
              <w:rPr>
                <w:sz w:val="20"/>
                <w:szCs w:val="20"/>
                <w:lang w:val="en-GB"/>
              </w:rPr>
              <w:t>R-Ketamine</w:t>
            </w:r>
          </w:p>
        </w:tc>
      </w:tr>
      <w:tr w:rsidR="00D33E7E" w:rsidRPr="002B128D" w14:paraId="32AAE7F6" w14:textId="77777777" w:rsidTr="00816178">
        <w:trPr>
          <w:trHeight w:val="340"/>
        </w:trPr>
        <w:tc>
          <w:tcPr>
            <w:tcW w:w="1139" w:type="pct"/>
            <w:tcBorders>
              <w:left w:val="nil"/>
              <w:bottom w:val="nil"/>
              <w:right w:val="nil"/>
            </w:tcBorders>
            <w:vAlign w:val="center"/>
          </w:tcPr>
          <w:p w14:paraId="61592F1A" w14:textId="77777777" w:rsidR="00D33E7E" w:rsidRPr="002B128D" w:rsidRDefault="00D33E7E" w:rsidP="00816178">
            <w:pPr>
              <w:rPr>
                <w:sz w:val="20"/>
                <w:szCs w:val="20"/>
                <w:lang w:val="en-GB"/>
              </w:rPr>
            </w:pPr>
            <w:r w:rsidRPr="002B128D">
              <w:rPr>
                <w:sz w:val="20"/>
                <w:szCs w:val="20"/>
                <w:lang w:val="en-GB"/>
              </w:rPr>
              <w:t>AUC</w:t>
            </w:r>
            <w:r w:rsidRPr="002B128D">
              <w:rPr>
                <w:sz w:val="20"/>
                <w:szCs w:val="20"/>
                <w:vertAlign w:val="subscript"/>
                <w:lang w:val="en-GB"/>
              </w:rPr>
              <w:t>0→∞</w:t>
            </w:r>
            <w:r w:rsidRPr="002B128D">
              <w:rPr>
                <w:sz w:val="20"/>
                <w:szCs w:val="20"/>
                <w:lang w:val="en-GB"/>
              </w:rPr>
              <w:t xml:space="preserve"> (µg min/mL)</w:t>
            </w:r>
          </w:p>
        </w:tc>
        <w:tc>
          <w:tcPr>
            <w:tcW w:w="180" w:type="pct"/>
            <w:tcBorders>
              <w:left w:val="nil"/>
              <w:bottom w:val="nil"/>
              <w:right w:val="nil"/>
            </w:tcBorders>
            <w:vAlign w:val="center"/>
          </w:tcPr>
          <w:p w14:paraId="3570F487" w14:textId="77777777" w:rsidR="00D33E7E" w:rsidRPr="002B128D" w:rsidRDefault="00D33E7E" w:rsidP="00816178">
            <w:pPr>
              <w:jc w:val="center"/>
              <w:rPr>
                <w:sz w:val="20"/>
                <w:szCs w:val="20"/>
                <w:lang w:val="en-GB"/>
              </w:rPr>
            </w:pPr>
          </w:p>
        </w:tc>
        <w:tc>
          <w:tcPr>
            <w:tcW w:w="1063" w:type="pct"/>
            <w:tcBorders>
              <w:left w:val="nil"/>
              <w:bottom w:val="nil"/>
              <w:right w:val="nil"/>
            </w:tcBorders>
            <w:vAlign w:val="center"/>
          </w:tcPr>
          <w:p w14:paraId="4961B117" w14:textId="77777777" w:rsidR="00D33E7E" w:rsidRPr="002B128D" w:rsidRDefault="00D33E7E" w:rsidP="00816178">
            <w:pPr>
              <w:jc w:val="center"/>
              <w:rPr>
                <w:sz w:val="20"/>
                <w:szCs w:val="20"/>
                <w:lang w:val="en-GB"/>
              </w:rPr>
            </w:pPr>
            <w:r w:rsidRPr="002B128D">
              <w:rPr>
                <w:sz w:val="20"/>
                <w:szCs w:val="20"/>
                <w:lang w:val="en-GB"/>
              </w:rPr>
              <w:t>28.48±5.74</w:t>
            </w:r>
          </w:p>
        </w:tc>
        <w:tc>
          <w:tcPr>
            <w:tcW w:w="180" w:type="pct"/>
            <w:tcBorders>
              <w:left w:val="nil"/>
              <w:bottom w:val="nil"/>
              <w:right w:val="nil"/>
            </w:tcBorders>
            <w:vAlign w:val="center"/>
          </w:tcPr>
          <w:p w14:paraId="43D39539" w14:textId="77777777" w:rsidR="00D33E7E" w:rsidRPr="002B128D" w:rsidRDefault="00D33E7E" w:rsidP="00816178">
            <w:pPr>
              <w:jc w:val="center"/>
              <w:rPr>
                <w:sz w:val="20"/>
                <w:szCs w:val="20"/>
                <w:lang w:val="en-GB"/>
              </w:rPr>
            </w:pPr>
          </w:p>
        </w:tc>
        <w:tc>
          <w:tcPr>
            <w:tcW w:w="1064" w:type="pct"/>
            <w:tcBorders>
              <w:left w:val="nil"/>
              <w:bottom w:val="nil"/>
              <w:right w:val="nil"/>
            </w:tcBorders>
            <w:vAlign w:val="center"/>
          </w:tcPr>
          <w:p w14:paraId="27108BB1" w14:textId="77777777" w:rsidR="00D33E7E" w:rsidRPr="002B128D" w:rsidRDefault="00D33E7E" w:rsidP="00816178">
            <w:pPr>
              <w:jc w:val="center"/>
              <w:rPr>
                <w:sz w:val="20"/>
                <w:szCs w:val="20"/>
                <w:lang w:val="en-GB"/>
              </w:rPr>
            </w:pPr>
            <w:r w:rsidRPr="002B128D">
              <w:rPr>
                <w:sz w:val="20"/>
                <w:szCs w:val="20"/>
                <w:lang w:val="en-GB"/>
              </w:rPr>
              <w:t>28.64±5.41</w:t>
            </w:r>
          </w:p>
        </w:tc>
        <w:tc>
          <w:tcPr>
            <w:tcW w:w="310" w:type="pct"/>
            <w:tcBorders>
              <w:left w:val="nil"/>
              <w:bottom w:val="nil"/>
              <w:right w:val="nil"/>
            </w:tcBorders>
            <w:vAlign w:val="center"/>
          </w:tcPr>
          <w:p w14:paraId="40CBD2ED" w14:textId="77777777" w:rsidR="00D33E7E" w:rsidRPr="002B128D" w:rsidRDefault="00D33E7E" w:rsidP="00816178">
            <w:pPr>
              <w:jc w:val="center"/>
              <w:rPr>
                <w:sz w:val="20"/>
                <w:szCs w:val="20"/>
                <w:lang w:val="en-GB"/>
              </w:rPr>
            </w:pPr>
          </w:p>
        </w:tc>
        <w:tc>
          <w:tcPr>
            <w:tcW w:w="1063" w:type="pct"/>
            <w:tcBorders>
              <w:left w:val="nil"/>
              <w:bottom w:val="nil"/>
              <w:right w:val="nil"/>
            </w:tcBorders>
            <w:vAlign w:val="center"/>
          </w:tcPr>
          <w:p w14:paraId="6667AED4" w14:textId="77777777" w:rsidR="00D33E7E" w:rsidRPr="002B128D" w:rsidRDefault="00D33E7E" w:rsidP="00816178">
            <w:pPr>
              <w:jc w:val="center"/>
              <w:rPr>
                <w:sz w:val="20"/>
                <w:szCs w:val="20"/>
                <w:lang w:val="en-GB"/>
              </w:rPr>
            </w:pPr>
            <w:r w:rsidRPr="002B128D">
              <w:rPr>
                <w:sz w:val="20"/>
                <w:szCs w:val="20"/>
                <w:lang w:val="en-GB"/>
              </w:rPr>
              <w:t>30.27±4.84</w:t>
            </w:r>
          </w:p>
        </w:tc>
      </w:tr>
      <w:tr w:rsidR="00D33E7E" w:rsidRPr="002B128D" w14:paraId="38BF509A" w14:textId="77777777" w:rsidTr="00816178">
        <w:trPr>
          <w:trHeight w:val="340"/>
        </w:trPr>
        <w:tc>
          <w:tcPr>
            <w:tcW w:w="1139" w:type="pct"/>
            <w:tcBorders>
              <w:top w:val="nil"/>
              <w:left w:val="nil"/>
              <w:bottom w:val="nil"/>
              <w:right w:val="nil"/>
            </w:tcBorders>
            <w:vAlign w:val="center"/>
          </w:tcPr>
          <w:p w14:paraId="6191A640" w14:textId="77777777" w:rsidR="00D33E7E" w:rsidRPr="002B128D" w:rsidRDefault="00D33E7E" w:rsidP="00816178">
            <w:pPr>
              <w:rPr>
                <w:sz w:val="20"/>
                <w:szCs w:val="20"/>
                <w:lang w:val="en-GB"/>
              </w:rPr>
            </w:pPr>
            <w:r w:rsidRPr="002B128D">
              <w:rPr>
                <w:sz w:val="20"/>
                <w:szCs w:val="20"/>
                <w:lang w:val="en-GB"/>
              </w:rPr>
              <w:t>T</w:t>
            </w:r>
            <w:r w:rsidRPr="002B128D">
              <w:rPr>
                <w:sz w:val="20"/>
                <w:szCs w:val="20"/>
                <w:vertAlign w:val="subscript"/>
                <w:lang w:val="en-GB"/>
              </w:rPr>
              <w:t>1/2dis</w:t>
            </w:r>
            <w:r w:rsidRPr="002B128D">
              <w:rPr>
                <w:sz w:val="20"/>
                <w:szCs w:val="20"/>
                <w:lang w:val="en-GB"/>
              </w:rPr>
              <w:t xml:space="preserve"> (min)</w:t>
            </w:r>
          </w:p>
        </w:tc>
        <w:tc>
          <w:tcPr>
            <w:tcW w:w="180" w:type="pct"/>
            <w:tcBorders>
              <w:top w:val="nil"/>
              <w:left w:val="nil"/>
              <w:bottom w:val="nil"/>
              <w:right w:val="nil"/>
            </w:tcBorders>
            <w:vAlign w:val="center"/>
          </w:tcPr>
          <w:p w14:paraId="2BA3D5F2"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47535F95" w14:textId="77777777" w:rsidR="00D33E7E" w:rsidRPr="002B128D" w:rsidRDefault="00D33E7E" w:rsidP="00816178">
            <w:pPr>
              <w:jc w:val="center"/>
              <w:rPr>
                <w:sz w:val="20"/>
                <w:szCs w:val="20"/>
                <w:lang w:val="en-GB"/>
              </w:rPr>
            </w:pPr>
            <w:r w:rsidRPr="002B128D">
              <w:rPr>
                <w:sz w:val="20"/>
                <w:szCs w:val="20"/>
                <w:lang w:val="en-GB"/>
              </w:rPr>
              <w:t>1.03±0.60</w:t>
            </w:r>
          </w:p>
        </w:tc>
        <w:tc>
          <w:tcPr>
            <w:tcW w:w="180" w:type="pct"/>
            <w:tcBorders>
              <w:top w:val="nil"/>
              <w:left w:val="nil"/>
              <w:bottom w:val="nil"/>
              <w:right w:val="nil"/>
            </w:tcBorders>
            <w:vAlign w:val="center"/>
          </w:tcPr>
          <w:p w14:paraId="6486B995"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1F8A7CE5" w14:textId="77777777" w:rsidR="00D33E7E" w:rsidRPr="002B128D" w:rsidRDefault="00D33E7E" w:rsidP="00816178">
            <w:pPr>
              <w:jc w:val="center"/>
              <w:rPr>
                <w:sz w:val="20"/>
                <w:szCs w:val="20"/>
                <w:lang w:val="en-GB"/>
              </w:rPr>
            </w:pPr>
            <w:r w:rsidRPr="002B128D">
              <w:rPr>
                <w:sz w:val="20"/>
                <w:szCs w:val="20"/>
                <w:lang w:val="en-GB"/>
              </w:rPr>
              <w:t>1.39±0.37</w:t>
            </w:r>
          </w:p>
        </w:tc>
        <w:tc>
          <w:tcPr>
            <w:tcW w:w="310" w:type="pct"/>
            <w:tcBorders>
              <w:top w:val="nil"/>
              <w:left w:val="nil"/>
              <w:bottom w:val="nil"/>
              <w:right w:val="nil"/>
            </w:tcBorders>
            <w:vAlign w:val="center"/>
          </w:tcPr>
          <w:p w14:paraId="1EE62905"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7EC077C2" w14:textId="77777777" w:rsidR="00D33E7E" w:rsidRPr="002B128D" w:rsidRDefault="00D33E7E" w:rsidP="00816178">
            <w:pPr>
              <w:jc w:val="center"/>
              <w:rPr>
                <w:sz w:val="20"/>
                <w:szCs w:val="20"/>
                <w:lang w:val="en-GB"/>
              </w:rPr>
            </w:pPr>
            <w:r w:rsidRPr="002B128D">
              <w:rPr>
                <w:sz w:val="20"/>
                <w:szCs w:val="20"/>
                <w:lang w:val="en-GB"/>
              </w:rPr>
              <w:t>1.25±0.15</w:t>
            </w:r>
          </w:p>
        </w:tc>
      </w:tr>
      <w:tr w:rsidR="00D33E7E" w:rsidRPr="002B128D" w14:paraId="67AF8AA1" w14:textId="77777777" w:rsidTr="00816178">
        <w:trPr>
          <w:trHeight w:val="340"/>
        </w:trPr>
        <w:tc>
          <w:tcPr>
            <w:tcW w:w="1139" w:type="pct"/>
            <w:tcBorders>
              <w:top w:val="nil"/>
              <w:left w:val="nil"/>
              <w:bottom w:val="nil"/>
              <w:right w:val="nil"/>
            </w:tcBorders>
            <w:vAlign w:val="center"/>
          </w:tcPr>
          <w:p w14:paraId="1E83F8FE" w14:textId="77777777" w:rsidR="00D33E7E" w:rsidRPr="002B128D" w:rsidRDefault="00D33E7E" w:rsidP="00816178">
            <w:pPr>
              <w:rPr>
                <w:sz w:val="20"/>
                <w:szCs w:val="20"/>
                <w:lang w:val="en-GB"/>
              </w:rPr>
            </w:pPr>
            <w:r w:rsidRPr="002B128D">
              <w:rPr>
                <w:sz w:val="20"/>
                <w:szCs w:val="20"/>
                <w:lang w:val="en-GB"/>
              </w:rPr>
              <w:t>T</w:t>
            </w:r>
            <w:r w:rsidRPr="002B128D">
              <w:rPr>
                <w:sz w:val="20"/>
                <w:szCs w:val="20"/>
                <w:vertAlign w:val="subscript"/>
                <w:lang w:val="en-GB"/>
              </w:rPr>
              <w:t>1/2el</w:t>
            </w:r>
            <w:r w:rsidRPr="002B128D">
              <w:rPr>
                <w:sz w:val="20"/>
                <w:szCs w:val="20"/>
                <w:lang w:val="en-GB"/>
              </w:rPr>
              <w:t xml:space="preserve"> (min)</w:t>
            </w:r>
          </w:p>
        </w:tc>
        <w:tc>
          <w:tcPr>
            <w:tcW w:w="180" w:type="pct"/>
            <w:tcBorders>
              <w:top w:val="nil"/>
              <w:left w:val="nil"/>
              <w:bottom w:val="nil"/>
              <w:right w:val="nil"/>
            </w:tcBorders>
            <w:vAlign w:val="center"/>
          </w:tcPr>
          <w:p w14:paraId="47F3E1F8"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7230BBAF" w14:textId="77777777" w:rsidR="00D33E7E" w:rsidRPr="002B128D" w:rsidRDefault="00D33E7E" w:rsidP="00816178">
            <w:pPr>
              <w:jc w:val="center"/>
              <w:rPr>
                <w:sz w:val="20"/>
                <w:szCs w:val="20"/>
                <w:lang w:val="en-GB"/>
              </w:rPr>
            </w:pPr>
            <w:r w:rsidRPr="002B128D">
              <w:rPr>
                <w:sz w:val="20"/>
                <w:szCs w:val="20"/>
                <w:lang w:val="en-GB"/>
              </w:rPr>
              <w:t>13.07±6.19</w:t>
            </w:r>
          </w:p>
        </w:tc>
        <w:tc>
          <w:tcPr>
            <w:tcW w:w="180" w:type="pct"/>
            <w:tcBorders>
              <w:top w:val="nil"/>
              <w:left w:val="nil"/>
              <w:bottom w:val="nil"/>
              <w:right w:val="nil"/>
            </w:tcBorders>
            <w:vAlign w:val="center"/>
          </w:tcPr>
          <w:p w14:paraId="529D2B8C"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729C872D" w14:textId="77777777" w:rsidR="00D33E7E" w:rsidRPr="002B128D" w:rsidRDefault="00D33E7E" w:rsidP="00816178">
            <w:pPr>
              <w:jc w:val="center"/>
              <w:rPr>
                <w:sz w:val="20"/>
                <w:szCs w:val="20"/>
                <w:lang w:val="en-GB"/>
              </w:rPr>
            </w:pPr>
            <w:r w:rsidRPr="002B128D">
              <w:rPr>
                <w:sz w:val="20"/>
                <w:szCs w:val="20"/>
                <w:lang w:val="en-GB"/>
              </w:rPr>
              <w:t>15.56±6.98</w:t>
            </w:r>
          </w:p>
        </w:tc>
        <w:tc>
          <w:tcPr>
            <w:tcW w:w="310" w:type="pct"/>
            <w:tcBorders>
              <w:top w:val="nil"/>
              <w:left w:val="nil"/>
              <w:bottom w:val="nil"/>
              <w:right w:val="nil"/>
            </w:tcBorders>
            <w:vAlign w:val="center"/>
          </w:tcPr>
          <w:p w14:paraId="79FACA12"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25271724" w14:textId="77777777" w:rsidR="00D33E7E" w:rsidRPr="002B128D" w:rsidRDefault="00D33E7E" w:rsidP="00816178">
            <w:pPr>
              <w:jc w:val="center"/>
              <w:rPr>
                <w:sz w:val="20"/>
                <w:szCs w:val="20"/>
                <w:lang w:val="en-GB"/>
              </w:rPr>
            </w:pPr>
            <w:r w:rsidRPr="002B128D">
              <w:rPr>
                <w:sz w:val="20"/>
                <w:szCs w:val="20"/>
                <w:lang w:val="en-GB"/>
              </w:rPr>
              <w:t>15.42±5.46</w:t>
            </w:r>
          </w:p>
        </w:tc>
      </w:tr>
      <w:tr w:rsidR="00D33E7E" w:rsidRPr="002B128D" w14:paraId="5B04BA75" w14:textId="77777777" w:rsidTr="00816178">
        <w:trPr>
          <w:trHeight w:val="340"/>
        </w:trPr>
        <w:tc>
          <w:tcPr>
            <w:tcW w:w="1139" w:type="pct"/>
            <w:tcBorders>
              <w:top w:val="nil"/>
              <w:left w:val="nil"/>
              <w:bottom w:val="nil"/>
              <w:right w:val="nil"/>
            </w:tcBorders>
            <w:vAlign w:val="center"/>
          </w:tcPr>
          <w:p w14:paraId="5466386D" w14:textId="77777777" w:rsidR="00D33E7E" w:rsidRPr="002B128D" w:rsidRDefault="00D33E7E" w:rsidP="00816178">
            <w:pPr>
              <w:rPr>
                <w:sz w:val="20"/>
                <w:szCs w:val="20"/>
                <w:lang w:val="en-GB"/>
              </w:rPr>
            </w:pPr>
            <w:r w:rsidRPr="002B128D">
              <w:rPr>
                <w:sz w:val="20"/>
                <w:szCs w:val="20"/>
                <w:lang w:val="en-GB"/>
              </w:rPr>
              <w:t>K</w:t>
            </w:r>
            <w:r w:rsidRPr="002B128D">
              <w:rPr>
                <w:sz w:val="20"/>
                <w:szCs w:val="20"/>
                <w:vertAlign w:val="subscript"/>
                <w:lang w:val="en-GB"/>
              </w:rPr>
              <w:t>el</w:t>
            </w:r>
            <w:r w:rsidRPr="002B128D">
              <w:rPr>
                <w:sz w:val="20"/>
                <w:szCs w:val="20"/>
                <w:lang w:val="en-GB"/>
              </w:rPr>
              <w:t xml:space="preserve"> (1/min)</w:t>
            </w:r>
          </w:p>
        </w:tc>
        <w:tc>
          <w:tcPr>
            <w:tcW w:w="180" w:type="pct"/>
            <w:tcBorders>
              <w:top w:val="nil"/>
              <w:left w:val="nil"/>
              <w:bottom w:val="nil"/>
              <w:right w:val="nil"/>
            </w:tcBorders>
            <w:vAlign w:val="center"/>
          </w:tcPr>
          <w:p w14:paraId="708F83B0"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4CBBEBD3" w14:textId="77777777" w:rsidR="00D33E7E" w:rsidRPr="002B128D" w:rsidRDefault="00D33E7E" w:rsidP="00816178">
            <w:pPr>
              <w:jc w:val="center"/>
              <w:rPr>
                <w:sz w:val="20"/>
                <w:szCs w:val="20"/>
                <w:lang w:val="en-GB"/>
              </w:rPr>
            </w:pPr>
            <w:r w:rsidRPr="002B128D">
              <w:rPr>
                <w:sz w:val="20"/>
                <w:szCs w:val="20"/>
                <w:lang w:val="en-GB"/>
              </w:rPr>
              <w:t>0.06±0.02</w:t>
            </w:r>
          </w:p>
        </w:tc>
        <w:tc>
          <w:tcPr>
            <w:tcW w:w="180" w:type="pct"/>
            <w:tcBorders>
              <w:top w:val="nil"/>
              <w:left w:val="nil"/>
              <w:bottom w:val="nil"/>
              <w:right w:val="nil"/>
            </w:tcBorders>
            <w:vAlign w:val="center"/>
          </w:tcPr>
          <w:p w14:paraId="6052E547"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6732B6A6" w14:textId="77777777" w:rsidR="00D33E7E" w:rsidRPr="002B128D" w:rsidRDefault="00D33E7E" w:rsidP="00816178">
            <w:pPr>
              <w:jc w:val="center"/>
              <w:rPr>
                <w:sz w:val="20"/>
                <w:szCs w:val="20"/>
                <w:lang w:val="en-GB"/>
              </w:rPr>
            </w:pPr>
            <w:r w:rsidRPr="002B128D">
              <w:rPr>
                <w:sz w:val="20"/>
                <w:szCs w:val="20"/>
                <w:lang w:val="en-GB"/>
              </w:rPr>
              <w:t>0.05±0.03</w:t>
            </w:r>
          </w:p>
        </w:tc>
        <w:tc>
          <w:tcPr>
            <w:tcW w:w="310" w:type="pct"/>
            <w:tcBorders>
              <w:top w:val="nil"/>
              <w:left w:val="nil"/>
              <w:bottom w:val="nil"/>
              <w:right w:val="nil"/>
            </w:tcBorders>
            <w:vAlign w:val="center"/>
          </w:tcPr>
          <w:p w14:paraId="1F95E0B0"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53D9865F" w14:textId="77777777" w:rsidR="00D33E7E" w:rsidRPr="002B128D" w:rsidRDefault="00D33E7E" w:rsidP="00816178">
            <w:pPr>
              <w:jc w:val="center"/>
              <w:rPr>
                <w:sz w:val="20"/>
                <w:szCs w:val="20"/>
                <w:lang w:val="en-GB"/>
              </w:rPr>
            </w:pPr>
            <w:r w:rsidRPr="002B128D">
              <w:rPr>
                <w:sz w:val="20"/>
                <w:szCs w:val="20"/>
                <w:lang w:val="en-GB"/>
              </w:rPr>
              <w:t>0.05±0.05</w:t>
            </w:r>
          </w:p>
        </w:tc>
      </w:tr>
      <w:tr w:rsidR="00D33E7E" w:rsidRPr="002B128D" w14:paraId="4B19B3B6" w14:textId="77777777" w:rsidTr="00816178">
        <w:trPr>
          <w:trHeight w:val="340"/>
        </w:trPr>
        <w:tc>
          <w:tcPr>
            <w:tcW w:w="1139" w:type="pct"/>
            <w:tcBorders>
              <w:top w:val="nil"/>
              <w:left w:val="nil"/>
              <w:bottom w:val="nil"/>
              <w:right w:val="nil"/>
            </w:tcBorders>
            <w:vAlign w:val="center"/>
          </w:tcPr>
          <w:p w14:paraId="5F721370" w14:textId="77777777" w:rsidR="00D33E7E" w:rsidRPr="002B128D" w:rsidRDefault="00D33E7E" w:rsidP="00816178">
            <w:pPr>
              <w:rPr>
                <w:sz w:val="20"/>
                <w:szCs w:val="20"/>
                <w:lang w:val="en-GB"/>
              </w:rPr>
            </w:pPr>
            <w:r w:rsidRPr="002B128D">
              <w:rPr>
                <w:sz w:val="20"/>
                <w:szCs w:val="20"/>
                <w:lang w:val="en-GB"/>
              </w:rPr>
              <w:t>MRT (min)</w:t>
            </w:r>
          </w:p>
        </w:tc>
        <w:tc>
          <w:tcPr>
            <w:tcW w:w="180" w:type="pct"/>
            <w:tcBorders>
              <w:top w:val="nil"/>
              <w:left w:val="nil"/>
              <w:bottom w:val="nil"/>
              <w:right w:val="nil"/>
            </w:tcBorders>
            <w:vAlign w:val="center"/>
          </w:tcPr>
          <w:p w14:paraId="36608FF9"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31800698" w14:textId="77777777" w:rsidR="00D33E7E" w:rsidRPr="002B128D" w:rsidRDefault="00D33E7E" w:rsidP="00816178">
            <w:pPr>
              <w:jc w:val="center"/>
              <w:rPr>
                <w:sz w:val="20"/>
                <w:szCs w:val="20"/>
                <w:lang w:val="en-GB"/>
              </w:rPr>
            </w:pPr>
            <w:r w:rsidRPr="002B128D">
              <w:rPr>
                <w:sz w:val="20"/>
                <w:szCs w:val="20"/>
                <w:lang w:val="en-GB"/>
              </w:rPr>
              <w:t>13.16±4.68</w:t>
            </w:r>
          </w:p>
        </w:tc>
        <w:tc>
          <w:tcPr>
            <w:tcW w:w="180" w:type="pct"/>
            <w:tcBorders>
              <w:top w:val="nil"/>
              <w:left w:val="nil"/>
              <w:bottom w:val="nil"/>
              <w:right w:val="nil"/>
            </w:tcBorders>
            <w:vAlign w:val="center"/>
          </w:tcPr>
          <w:p w14:paraId="1789C578"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1B6954AD" w14:textId="77777777" w:rsidR="00D33E7E" w:rsidRPr="002B128D" w:rsidRDefault="00D33E7E" w:rsidP="00816178">
            <w:pPr>
              <w:jc w:val="center"/>
              <w:rPr>
                <w:sz w:val="20"/>
                <w:szCs w:val="20"/>
                <w:lang w:val="en-GB"/>
              </w:rPr>
            </w:pPr>
            <w:r w:rsidRPr="002B128D">
              <w:rPr>
                <w:sz w:val="20"/>
                <w:szCs w:val="20"/>
                <w:lang w:val="en-GB"/>
              </w:rPr>
              <w:t>16.83±7.48</w:t>
            </w:r>
          </w:p>
        </w:tc>
        <w:tc>
          <w:tcPr>
            <w:tcW w:w="310" w:type="pct"/>
            <w:tcBorders>
              <w:top w:val="nil"/>
              <w:left w:val="nil"/>
              <w:bottom w:val="nil"/>
              <w:right w:val="nil"/>
            </w:tcBorders>
            <w:vAlign w:val="center"/>
          </w:tcPr>
          <w:p w14:paraId="32E240A6"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2CD6E4F1" w14:textId="77777777" w:rsidR="00D33E7E" w:rsidRPr="002B128D" w:rsidRDefault="00D33E7E" w:rsidP="00816178">
            <w:pPr>
              <w:jc w:val="center"/>
              <w:rPr>
                <w:sz w:val="20"/>
                <w:szCs w:val="20"/>
                <w:lang w:val="en-GB"/>
              </w:rPr>
            </w:pPr>
            <w:r w:rsidRPr="002B128D">
              <w:rPr>
                <w:sz w:val="20"/>
                <w:szCs w:val="20"/>
                <w:lang w:val="en-GB"/>
              </w:rPr>
              <w:t>17.60±6.60</w:t>
            </w:r>
          </w:p>
        </w:tc>
      </w:tr>
      <w:tr w:rsidR="00D33E7E" w:rsidRPr="002B128D" w14:paraId="2BF86634" w14:textId="77777777" w:rsidTr="00816178">
        <w:trPr>
          <w:trHeight w:val="340"/>
        </w:trPr>
        <w:tc>
          <w:tcPr>
            <w:tcW w:w="1139" w:type="pct"/>
            <w:tcBorders>
              <w:top w:val="nil"/>
              <w:left w:val="nil"/>
              <w:bottom w:val="nil"/>
              <w:right w:val="nil"/>
            </w:tcBorders>
            <w:vAlign w:val="center"/>
          </w:tcPr>
          <w:p w14:paraId="341035DE" w14:textId="77777777" w:rsidR="00D33E7E" w:rsidRPr="002B128D" w:rsidRDefault="00D33E7E" w:rsidP="00816178">
            <w:pPr>
              <w:rPr>
                <w:sz w:val="20"/>
                <w:szCs w:val="20"/>
                <w:lang w:val="en-GB"/>
              </w:rPr>
            </w:pPr>
            <w:r w:rsidRPr="002B128D">
              <w:rPr>
                <w:sz w:val="20"/>
                <w:szCs w:val="20"/>
                <w:lang w:val="en-GB"/>
              </w:rPr>
              <w:t>Cl</w:t>
            </w:r>
            <w:r w:rsidRPr="002B128D">
              <w:rPr>
                <w:sz w:val="20"/>
                <w:szCs w:val="20"/>
                <w:vertAlign w:val="subscript"/>
                <w:lang w:val="en-GB"/>
              </w:rPr>
              <w:t>B</w:t>
            </w:r>
            <w:r w:rsidRPr="002B128D">
              <w:rPr>
                <w:sz w:val="20"/>
                <w:szCs w:val="20"/>
                <w:lang w:val="en-GB"/>
              </w:rPr>
              <w:t xml:space="preserve"> (mL/min/kg)</w:t>
            </w:r>
          </w:p>
        </w:tc>
        <w:tc>
          <w:tcPr>
            <w:tcW w:w="180" w:type="pct"/>
            <w:tcBorders>
              <w:top w:val="nil"/>
              <w:left w:val="nil"/>
              <w:bottom w:val="nil"/>
              <w:right w:val="nil"/>
            </w:tcBorders>
            <w:vAlign w:val="center"/>
          </w:tcPr>
          <w:p w14:paraId="6CEF5CF0"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35CD547B" w14:textId="77777777" w:rsidR="00D33E7E" w:rsidRPr="002B128D" w:rsidRDefault="00D33E7E" w:rsidP="00816178">
            <w:pPr>
              <w:jc w:val="center"/>
              <w:rPr>
                <w:sz w:val="20"/>
                <w:szCs w:val="20"/>
                <w:lang w:val="en-GB"/>
              </w:rPr>
            </w:pPr>
            <w:r w:rsidRPr="002B128D">
              <w:rPr>
                <w:sz w:val="20"/>
                <w:szCs w:val="20"/>
                <w:lang w:val="en-GB"/>
              </w:rPr>
              <w:t>72.68±14.72</w:t>
            </w:r>
          </w:p>
        </w:tc>
        <w:tc>
          <w:tcPr>
            <w:tcW w:w="180" w:type="pct"/>
            <w:tcBorders>
              <w:top w:val="nil"/>
              <w:left w:val="nil"/>
              <w:bottom w:val="nil"/>
              <w:right w:val="nil"/>
            </w:tcBorders>
            <w:vAlign w:val="center"/>
          </w:tcPr>
          <w:p w14:paraId="212EBEBD"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19581A26" w14:textId="77777777" w:rsidR="00D33E7E" w:rsidRPr="002B128D" w:rsidRDefault="00D33E7E" w:rsidP="00816178">
            <w:pPr>
              <w:jc w:val="center"/>
              <w:rPr>
                <w:sz w:val="20"/>
                <w:szCs w:val="20"/>
                <w:lang w:val="en-GB"/>
              </w:rPr>
            </w:pPr>
            <w:r w:rsidRPr="002B128D">
              <w:rPr>
                <w:sz w:val="20"/>
                <w:szCs w:val="20"/>
                <w:lang w:val="en-GB"/>
              </w:rPr>
              <w:t>71.82±12.80</w:t>
            </w:r>
          </w:p>
        </w:tc>
        <w:tc>
          <w:tcPr>
            <w:tcW w:w="310" w:type="pct"/>
            <w:tcBorders>
              <w:top w:val="nil"/>
              <w:left w:val="nil"/>
              <w:bottom w:val="nil"/>
              <w:right w:val="nil"/>
            </w:tcBorders>
            <w:vAlign w:val="center"/>
          </w:tcPr>
          <w:p w14:paraId="63EFF433"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077844E9" w14:textId="77777777" w:rsidR="00D33E7E" w:rsidRPr="002B128D" w:rsidRDefault="00D33E7E" w:rsidP="00816178">
            <w:pPr>
              <w:jc w:val="center"/>
              <w:rPr>
                <w:sz w:val="20"/>
                <w:szCs w:val="20"/>
                <w:lang w:val="en-GB"/>
              </w:rPr>
            </w:pPr>
            <w:r w:rsidRPr="002B128D">
              <w:rPr>
                <w:sz w:val="20"/>
                <w:szCs w:val="20"/>
                <w:lang w:val="en-GB"/>
              </w:rPr>
              <w:t>67.48±10.68</w:t>
            </w:r>
          </w:p>
        </w:tc>
      </w:tr>
      <w:tr w:rsidR="00D33E7E" w:rsidRPr="002B128D" w14:paraId="267294E5" w14:textId="77777777" w:rsidTr="00816178">
        <w:trPr>
          <w:trHeight w:val="340"/>
        </w:trPr>
        <w:tc>
          <w:tcPr>
            <w:tcW w:w="1139" w:type="pct"/>
            <w:tcBorders>
              <w:top w:val="nil"/>
              <w:left w:val="nil"/>
              <w:bottom w:val="nil"/>
              <w:right w:val="nil"/>
            </w:tcBorders>
            <w:vAlign w:val="center"/>
          </w:tcPr>
          <w:p w14:paraId="73759E45" w14:textId="77777777" w:rsidR="00D33E7E" w:rsidRPr="002B128D" w:rsidRDefault="00D33E7E" w:rsidP="00816178">
            <w:pPr>
              <w:rPr>
                <w:sz w:val="20"/>
                <w:szCs w:val="20"/>
                <w:lang w:val="en-GB"/>
              </w:rPr>
            </w:pPr>
            <w:r w:rsidRPr="002B128D">
              <w:rPr>
                <w:sz w:val="20"/>
                <w:szCs w:val="20"/>
                <w:lang w:val="en-GB"/>
              </w:rPr>
              <w:t>V</w:t>
            </w:r>
            <w:r w:rsidRPr="002B128D">
              <w:rPr>
                <w:sz w:val="20"/>
                <w:szCs w:val="20"/>
                <w:vertAlign w:val="subscript"/>
                <w:lang w:val="en-GB"/>
              </w:rPr>
              <w:t>c</w:t>
            </w:r>
            <w:r w:rsidRPr="002B128D">
              <w:rPr>
                <w:sz w:val="20"/>
                <w:szCs w:val="20"/>
                <w:lang w:val="en-GB"/>
              </w:rPr>
              <w:t xml:space="preserve"> (L/kg)</w:t>
            </w:r>
          </w:p>
        </w:tc>
        <w:tc>
          <w:tcPr>
            <w:tcW w:w="180" w:type="pct"/>
            <w:tcBorders>
              <w:top w:val="nil"/>
              <w:left w:val="nil"/>
              <w:bottom w:val="nil"/>
              <w:right w:val="nil"/>
            </w:tcBorders>
            <w:vAlign w:val="center"/>
          </w:tcPr>
          <w:p w14:paraId="0245C4EA"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49A0049F" w14:textId="77777777" w:rsidR="00D33E7E" w:rsidRPr="002B128D" w:rsidRDefault="00D33E7E" w:rsidP="00816178">
            <w:pPr>
              <w:jc w:val="center"/>
              <w:rPr>
                <w:sz w:val="20"/>
                <w:szCs w:val="20"/>
                <w:lang w:val="en-GB"/>
              </w:rPr>
            </w:pPr>
            <w:r w:rsidRPr="002B128D">
              <w:rPr>
                <w:sz w:val="20"/>
                <w:szCs w:val="20"/>
                <w:lang w:val="en-GB"/>
              </w:rPr>
              <w:t>0.68±0.37</w:t>
            </w:r>
          </w:p>
        </w:tc>
        <w:tc>
          <w:tcPr>
            <w:tcW w:w="180" w:type="pct"/>
            <w:tcBorders>
              <w:top w:val="nil"/>
              <w:left w:val="nil"/>
              <w:bottom w:val="nil"/>
              <w:right w:val="nil"/>
            </w:tcBorders>
            <w:vAlign w:val="center"/>
          </w:tcPr>
          <w:p w14:paraId="1ADE29C6"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57F54B86" w14:textId="77777777" w:rsidR="00D33E7E" w:rsidRPr="002B128D" w:rsidRDefault="00D33E7E" w:rsidP="00816178">
            <w:pPr>
              <w:jc w:val="center"/>
              <w:rPr>
                <w:sz w:val="20"/>
                <w:szCs w:val="20"/>
                <w:lang w:val="en-GB"/>
              </w:rPr>
            </w:pPr>
            <w:r w:rsidRPr="002B128D">
              <w:rPr>
                <w:sz w:val="20"/>
                <w:szCs w:val="20"/>
                <w:lang w:val="en-GB"/>
              </w:rPr>
              <w:t>0.75±0.37</w:t>
            </w:r>
          </w:p>
        </w:tc>
        <w:tc>
          <w:tcPr>
            <w:tcW w:w="310" w:type="pct"/>
            <w:tcBorders>
              <w:top w:val="nil"/>
              <w:left w:val="nil"/>
              <w:bottom w:val="nil"/>
              <w:right w:val="nil"/>
            </w:tcBorders>
            <w:vAlign w:val="center"/>
          </w:tcPr>
          <w:p w14:paraId="785F2F2A"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76A15624" w14:textId="77777777" w:rsidR="00D33E7E" w:rsidRPr="002B128D" w:rsidRDefault="00D33E7E" w:rsidP="00816178">
            <w:pPr>
              <w:jc w:val="center"/>
              <w:rPr>
                <w:sz w:val="20"/>
                <w:szCs w:val="20"/>
                <w:lang w:val="en-GB"/>
              </w:rPr>
            </w:pPr>
            <w:r w:rsidRPr="002B128D">
              <w:rPr>
                <w:sz w:val="20"/>
                <w:szCs w:val="20"/>
                <w:lang w:val="en-GB"/>
              </w:rPr>
              <w:t>0.75±0.33</w:t>
            </w:r>
          </w:p>
        </w:tc>
      </w:tr>
      <w:tr w:rsidR="00D33E7E" w:rsidRPr="002B128D" w14:paraId="4599F256" w14:textId="77777777" w:rsidTr="00816178">
        <w:trPr>
          <w:trHeight w:val="170"/>
        </w:trPr>
        <w:tc>
          <w:tcPr>
            <w:tcW w:w="1139" w:type="pct"/>
            <w:tcBorders>
              <w:top w:val="nil"/>
              <w:left w:val="nil"/>
              <w:bottom w:val="nil"/>
              <w:right w:val="nil"/>
            </w:tcBorders>
            <w:vAlign w:val="center"/>
          </w:tcPr>
          <w:p w14:paraId="14C6EBBD" w14:textId="77777777" w:rsidR="00D33E7E" w:rsidRPr="002B128D" w:rsidRDefault="00D33E7E" w:rsidP="00816178">
            <w:pPr>
              <w:rPr>
                <w:sz w:val="20"/>
                <w:szCs w:val="20"/>
                <w:lang w:val="en-GB"/>
              </w:rPr>
            </w:pPr>
          </w:p>
        </w:tc>
        <w:tc>
          <w:tcPr>
            <w:tcW w:w="180" w:type="pct"/>
            <w:tcBorders>
              <w:top w:val="nil"/>
              <w:left w:val="nil"/>
              <w:bottom w:val="nil"/>
              <w:right w:val="nil"/>
            </w:tcBorders>
            <w:vAlign w:val="center"/>
          </w:tcPr>
          <w:p w14:paraId="2E4E5D45"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0F5CEEF8" w14:textId="77777777" w:rsidR="00D33E7E" w:rsidRPr="002B128D" w:rsidRDefault="00D33E7E" w:rsidP="00816178">
            <w:pPr>
              <w:jc w:val="center"/>
              <w:rPr>
                <w:sz w:val="20"/>
                <w:szCs w:val="20"/>
                <w:lang w:val="en-GB"/>
              </w:rPr>
            </w:pPr>
          </w:p>
        </w:tc>
        <w:tc>
          <w:tcPr>
            <w:tcW w:w="180" w:type="pct"/>
            <w:tcBorders>
              <w:top w:val="nil"/>
              <w:left w:val="nil"/>
              <w:bottom w:val="nil"/>
              <w:right w:val="nil"/>
            </w:tcBorders>
            <w:vAlign w:val="center"/>
          </w:tcPr>
          <w:p w14:paraId="7B485DD5"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2244A7FF" w14:textId="77777777" w:rsidR="00D33E7E" w:rsidRPr="002B128D" w:rsidRDefault="00D33E7E" w:rsidP="00816178">
            <w:pPr>
              <w:jc w:val="center"/>
              <w:rPr>
                <w:sz w:val="20"/>
                <w:szCs w:val="20"/>
                <w:lang w:val="en-GB"/>
              </w:rPr>
            </w:pPr>
          </w:p>
        </w:tc>
        <w:tc>
          <w:tcPr>
            <w:tcW w:w="310" w:type="pct"/>
            <w:tcBorders>
              <w:top w:val="nil"/>
              <w:left w:val="nil"/>
              <w:bottom w:val="nil"/>
              <w:right w:val="nil"/>
            </w:tcBorders>
            <w:vAlign w:val="center"/>
          </w:tcPr>
          <w:p w14:paraId="3EED9F9A"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3D10B91A" w14:textId="77777777" w:rsidR="00D33E7E" w:rsidRPr="002B128D" w:rsidRDefault="00D33E7E" w:rsidP="00816178">
            <w:pPr>
              <w:jc w:val="center"/>
              <w:rPr>
                <w:sz w:val="20"/>
                <w:szCs w:val="20"/>
                <w:lang w:val="en-GB"/>
              </w:rPr>
            </w:pPr>
          </w:p>
        </w:tc>
      </w:tr>
      <w:tr w:rsidR="00D33E7E" w:rsidRPr="002B128D" w14:paraId="64ECA797" w14:textId="77777777" w:rsidTr="00816178">
        <w:trPr>
          <w:trHeight w:val="397"/>
        </w:trPr>
        <w:tc>
          <w:tcPr>
            <w:tcW w:w="1139" w:type="pct"/>
            <w:tcBorders>
              <w:top w:val="nil"/>
              <w:left w:val="nil"/>
              <w:bottom w:val="nil"/>
              <w:right w:val="nil"/>
            </w:tcBorders>
            <w:vAlign w:val="center"/>
          </w:tcPr>
          <w:p w14:paraId="3DF2A98E" w14:textId="77777777" w:rsidR="00D33E7E" w:rsidRPr="002B128D" w:rsidRDefault="00D33E7E" w:rsidP="00816178">
            <w:pPr>
              <w:rPr>
                <w:sz w:val="20"/>
                <w:szCs w:val="20"/>
                <w:lang w:val="en-GB"/>
              </w:rPr>
            </w:pPr>
          </w:p>
        </w:tc>
        <w:tc>
          <w:tcPr>
            <w:tcW w:w="180" w:type="pct"/>
            <w:tcBorders>
              <w:top w:val="nil"/>
              <w:left w:val="nil"/>
              <w:bottom w:val="nil"/>
              <w:right w:val="nil"/>
            </w:tcBorders>
            <w:vAlign w:val="center"/>
          </w:tcPr>
          <w:p w14:paraId="215F7E09" w14:textId="77777777" w:rsidR="00D33E7E" w:rsidRPr="002B128D" w:rsidRDefault="00D33E7E" w:rsidP="00816178">
            <w:pPr>
              <w:jc w:val="center"/>
              <w:rPr>
                <w:sz w:val="20"/>
                <w:szCs w:val="20"/>
                <w:lang w:val="en-GB"/>
              </w:rPr>
            </w:pPr>
          </w:p>
        </w:tc>
        <w:tc>
          <w:tcPr>
            <w:tcW w:w="1063" w:type="pct"/>
            <w:tcBorders>
              <w:top w:val="nil"/>
              <w:left w:val="nil"/>
              <w:right w:val="nil"/>
            </w:tcBorders>
            <w:vAlign w:val="center"/>
          </w:tcPr>
          <w:p w14:paraId="6772E3C0" w14:textId="77777777" w:rsidR="00D33E7E" w:rsidRPr="002B128D" w:rsidRDefault="00D33E7E" w:rsidP="00816178">
            <w:pPr>
              <w:jc w:val="center"/>
              <w:rPr>
                <w:sz w:val="20"/>
                <w:szCs w:val="20"/>
                <w:lang w:val="en-GB"/>
              </w:rPr>
            </w:pPr>
            <w:r w:rsidRPr="002B128D">
              <w:rPr>
                <w:sz w:val="20"/>
                <w:szCs w:val="20"/>
                <w:lang w:val="en-GB"/>
              </w:rPr>
              <w:t>S-Norketamine</w:t>
            </w:r>
          </w:p>
        </w:tc>
        <w:tc>
          <w:tcPr>
            <w:tcW w:w="180" w:type="pct"/>
            <w:tcBorders>
              <w:top w:val="nil"/>
              <w:left w:val="nil"/>
              <w:right w:val="nil"/>
            </w:tcBorders>
            <w:vAlign w:val="center"/>
          </w:tcPr>
          <w:p w14:paraId="3D983DB4" w14:textId="77777777" w:rsidR="00D33E7E" w:rsidRPr="002B128D" w:rsidRDefault="00D33E7E" w:rsidP="00816178">
            <w:pPr>
              <w:jc w:val="center"/>
              <w:rPr>
                <w:sz w:val="20"/>
                <w:szCs w:val="20"/>
                <w:lang w:val="en-GB"/>
              </w:rPr>
            </w:pPr>
          </w:p>
        </w:tc>
        <w:tc>
          <w:tcPr>
            <w:tcW w:w="1064" w:type="pct"/>
            <w:tcBorders>
              <w:top w:val="nil"/>
              <w:left w:val="nil"/>
              <w:right w:val="nil"/>
            </w:tcBorders>
            <w:vAlign w:val="center"/>
          </w:tcPr>
          <w:p w14:paraId="1483ED06" w14:textId="77777777" w:rsidR="00D33E7E" w:rsidRPr="002B128D" w:rsidRDefault="00D33E7E" w:rsidP="00816178">
            <w:pPr>
              <w:jc w:val="center"/>
              <w:rPr>
                <w:sz w:val="20"/>
                <w:szCs w:val="20"/>
                <w:lang w:val="en-GB"/>
              </w:rPr>
            </w:pPr>
            <w:r w:rsidRPr="002B128D">
              <w:rPr>
                <w:sz w:val="20"/>
                <w:szCs w:val="20"/>
                <w:lang w:val="en-GB"/>
              </w:rPr>
              <w:t>S-Norketamine</w:t>
            </w:r>
          </w:p>
        </w:tc>
        <w:tc>
          <w:tcPr>
            <w:tcW w:w="310" w:type="pct"/>
            <w:tcBorders>
              <w:top w:val="nil"/>
              <w:left w:val="nil"/>
              <w:right w:val="nil"/>
            </w:tcBorders>
            <w:vAlign w:val="center"/>
          </w:tcPr>
          <w:p w14:paraId="2428AF5C" w14:textId="77777777" w:rsidR="00D33E7E" w:rsidRPr="002B128D" w:rsidRDefault="00D33E7E" w:rsidP="00816178">
            <w:pPr>
              <w:jc w:val="center"/>
              <w:rPr>
                <w:sz w:val="20"/>
                <w:szCs w:val="20"/>
                <w:lang w:val="en-GB"/>
              </w:rPr>
            </w:pPr>
          </w:p>
        </w:tc>
        <w:tc>
          <w:tcPr>
            <w:tcW w:w="1063" w:type="pct"/>
            <w:tcBorders>
              <w:top w:val="nil"/>
              <w:left w:val="nil"/>
              <w:right w:val="nil"/>
            </w:tcBorders>
            <w:vAlign w:val="center"/>
          </w:tcPr>
          <w:p w14:paraId="47DC2E65" w14:textId="77777777" w:rsidR="00D33E7E" w:rsidRPr="002B128D" w:rsidRDefault="00D33E7E" w:rsidP="00816178">
            <w:pPr>
              <w:jc w:val="center"/>
              <w:rPr>
                <w:sz w:val="20"/>
                <w:szCs w:val="20"/>
                <w:lang w:val="en-GB"/>
              </w:rPr>
            </w:pPr>
            <w:r w:rsidRPr="002B128D">
              <w:rPr>
                <w:sz w:val="20"/>
                <w:szCs w:val="20"/>
                <w:lang w:val="en-GB"/>
              </w:rPr>
              <w:t>R-Norketamine</w:t>
            </w:r>
          </w:p>
        </w:tc>
      </w:tr>
      <w:tr w:rsidR="00D33E7E" w:rsidRPr="002B128D" w14:paraId="41D6BD79" w14:textId="77777777" w:rsidTr="00816178">
        <w:trPr>
          <w:trHeight w:val="340"/>
        </w:trPr>
        <w:tc>
          <w:tcPr>
            <w:tcW w:w="1139" w:type="pct"/>
            <w:tcBorders>
              <w:top w:val="nil"/>
              <w:left w:val="nil"/>
              <w:bottom w:val="nil"/>
              <w:right w:val="nil"/>
            </w:tcBorders>
            <w:vAlign w:val="center"/>
          </w:tcPr>
          <w:p w14:paraId="65E62FF5" w14:textId="77777777" w:rsidR="00D33E7E" w:rsidRPr="002B128D" w:rsidRDefault="00D33E7E" w:rsidP="00816178">
            <w:pPr>
              <w:rPr>
                <w:sz w:val="20"/>
                <w:szCs w:val="20"/>
                <w:lang w:val="en-GB"/>
              </w:rPr>
            </w:pPr>
            <w:r w:rsidRPr="002B128D">
              <w:rPr>
                <w:sz w:val="20"/>
                <w:szCs w:val="20"/>
                <w:lang w:val="en-GB"/>
              </w:rPr>
              <w:t>AUC</w:t>
            </w:r>
            <w:r w:rsidRPr="002B128D">
              <w:rPr>
                <w:sz w:val="20"/>
                <w:szCs w:val="20"/>
                <w:vertAlign w:val="subscript"/>
                <w:lang w:val="en-GB"/>
              </w:rPr>
              <w:t>0→∞</w:t>
            </w:r>
            <w:r w:rsidRPr="002B128D">
              <w:rPr>
                <w:sz w:val="20"/>
                <w:szCs w:val="20"/>
                <w:lang w:val="en-GB"/>
              </w:rPr>
              <w:t xml:space="preserve"> (µg min/mL)</w:t>
            </w:r>
          </w:p>
        </w:tc>
        <w:tc>
          <w:tcPr>
            <w:tcW w:w="180" w:type="pct"/>
            <w:tcBorders>
              <w:top w:val="nil"/>
              <w:left w:val="nil"/>
              <w:bottom w:val="nil"/>
              <w:right w:val="nil"/>
            </w:tcBorders>
            <w:vAlign w:val="center"/>
          </w:tcPr>
          <w:p w14:paraId="4ACABD9E" w14:textId="77777777" w:rsidR="00D33E7E" w:rsidRPr="002B128D" w:rsidRDefault="00D33E7E" w:rsidP="00816178">
            <w:pPr>
              <w:jc w:val="center"/>
              <w:rPr>
                <w:sz w:val="20"/>
                <w:szCs w:val="20"/>
                <w:lang w:val="en-GB"/>
              </w:rPr>
            </w:pPr>
          </w:p>
        </w:tc>
        <w:tc>
          <w:tcPr>
            <w:tcW w:w="1063" w:type="pct"/>
            <w:tcBorders>
              <w:left w:val="nil"/>
              <w:bottom w:val="nil"/>
              <w:right w:val="nil"/>
            </w:tcBorders>
            <w:vAlign w:val="center"/>
          </w:tcPr>
          <w:p w14:paraId="5ED93AA7" w14:textId="77777777" w:rsidR="00D33E7E" w:rsidRPr="002B128D" w:rsidRDefault="00D33E7E" w:rsidP="00816178">
            <w:pPr>
              <w:jc w:val="center"/>
              <w:rPr>
                <w:sz w:val="20"/>
                <w:szCs w:val="20"/>
                <w:lang w:val="en-GB"/>
              </w:rPr>
            </w:pPr>
            <w:r w:rsidRPr="002B128D">
              <w:rPr>
                <w:sz w:val="20"/>
                <w:szCs w:val="20"/>
                <w:lang w:val="en-GB"/>
              </w:rPr>
              <w:t>31.74±22.66</w:t>
            </w:r>
            <w:r w:rsidRPr="002B128D">
              <w:rPr>
                <w:sz w:val="20"/>
                <w:szCs w:val="20"/>
                <w:vertAlign w:val="superscript"/>
                <w:lang w:val="en-GB"/>
              </w:rPr>
              <w:t>a</w:t>
            </w:r>
          </w:p>
        </w:tc>
        <w:tc>
          <w:tcPr>
            <w:tcW w:w="180" w:type="pct"/>
            <w:tcBorders>
              <w:left w:val="nil"/>
              <w:bottom w:val="nil"/>
              <w:right w:val="nil"/>
            </w:tcBorders>
            <w:vAlign w:val="center"/>
          </w:tcPr>
          <w:p w14:paraId="4EABF3DB" w14:textId="77777777" w:rsidR="00D33E7E" w:rsidRPr="002B128D" w:rsidRDefault="00D33E7E" w:rsidP="00816178">
            <w:pPr>
              <w:jc w:val="center"/>
              <w:rPr>
                <w:sz w:val="20"/>
                <w:szCs w:val="20"/>
                <w:lang w:val="en-GB"/>
              </w:rPr>
            </w:pPr>
          </w:p>
        </w:tc>
        <w:tc>
          <w:tcPr>
            <w:tcW w:w="1064" w:type="pct"/>
            <w:tcBorders>
              <w:left w:val="nil"/>
              <w:bottom w:val="nil"/>
              <w:right w:val="nil"/>
            </w:tcBorders>
            <w:vAlign w:val="center"/>
          </w:tcPr>
          <w:p w14:paraId="35B6F492" w14:textId="77777777" w:rsidR="00D33E7E" w:rsidRPr="002B128D" w:rsidRDefault="00D33E7E" w:rsidP="00816178">
            <w:pPr>
              <w:jc w:val="center"/>
              <w:rPr>
                <w:sz w:val="20"/>
                <w:szCs w:val="20"/>
                <w:lang w:val="en-GB"/>
              </w:rPr>
            </w:pPr>
            <w:r w:rsidRPr="002B128D">
              <w:rPr>
                <w:sz w:val="20"/>
                <w:szCs w:val="20"/>
                <w:lang w:val="en-GB"/>
              </w:rPr>
              <w:t>30.11±14.12</w:t>
            </w:r>
            <w:r w:rsidRPr="002B128D">
              <w:rPr>
                <w:sz w:val="20"/>
                <w:szCs w:val="20"/>
                <w:vertAlign w:val="superscript"/>
                <w:lang w:val="en-GB"/>
              </w:rPr>
              <w:t>b</w:t>
            </w:r>
          </w:p>
        </w:tc>
        <w:tc>
          <w:tcPr>
            <w:tcW w:w="310" w:type="pct"/>
            <w:tcBorders>
              <w:left w:val="nil"/>
              <w:bottom w:val="nil"/>
              <w:right w:val="nil"/>
            </w:tcBorders>
            <w:vAlign w:val="center"/>
          </w:tcPr>
          <w:p w14:paraId="46D160FA" w14:textId="77777777" w:rsidR="00D33E7E" w:rsidRPr="002B128D" w:rsidRDefault="00D33E7E" w:rsidP="00816178">
            <w:pPr>
              <w:jc w:val="center"/>
              <w:rPr>
                <w:sz w:val="20"/>
                <w:szCs w:val="20"/>
                <w:lang w:val="en-GB"/>
              </w:rPr>
            </w:pPr>
          </w:p>
        </w:tc>
        <w:tc>
          <w:tcPr>
            <w:tcW w:w="1063" w:type="pct"/>
            <w:tcBorders>
              <w:left w:val="nil"/>
              <w:bottom w:val="nil"/>
              <w:right w:val="nil"/>
            </w:tcBorders>
            <w:vAlign w:val="center"/>
          </w:tcPr>
          <w:p w14:paraId="69822BC9" w14:textId="77777777" w:rsidR="00D33E7E" w:rsidRPr="002B128D" w:rsidRDefault="00D33E7E" w:rsidP="00816178">
            <w:pPr>
              <w:jc w:val="center"/>
              <w:rPr>
                <w:sz w:val="20"/>
                <w:szCs w:val="20"/>
                <w:lang w:val="en-GB"/>
              </w:rPr>
            </w:pPr>
            <w:r w:rsidRPr="002B128D">
              <w:rPr>
                <w:sz w:val="20"/>
                <w:szCs w:val="20"/>
                <w:lang w:val="en-GB"/>
              </w:rPr>
              <w:t>39.25±12.00</w:t>
            </w:r>
            <w:r w:rsidRPr="002B128D">
              <w:rPr>
                <w:sz w:val="20"/>
                <w:szCs w:val="20"/>
                <w:vertAlign w:val="superscript"/>
                <w:lang w:val="en-GB"/>
              </w:rPr>
              <w:t>a,b</w:t>
            </w:r>
          </w:p>
        </w:tc>
      </w:tr>
      <w:tr w:rsidR="00D33E7E" w:rsidRPr="002B128D" w14:paraId="1BCB642B" w14:textId="77777777" w:rsidTr="00816178">
        <w:trPr>
          <w:trHeight w:val="340"/>
        </w:trPr>
        <w:tc>
          <w:tcPr>
            <w:tcW w:w="1139" w:type="pct"/>
            <w:tcBorders>
              <w:top w:val="nil"/>
              <w:left w:val="nil"/>
              <w:bottom w:val="nil"/>
              <w:right w:val="nil"/>
            </w:tcBorders>
            <w:vAlign w:val="center"/>
          </w:tcPr>
          <w:p w14:paraId="662FA3AC" w14:textId="77777777" w:rsidR="00D33E7E" w:rsidRPr="002B128D" w:rsidRDefault="00D33E7E" w:rsidP="00816178">
            <w:pPr>
              <w:rPr>
                <w:sz w:val="20"/>
                <w:szCs w:val="20"/>
                <w:lang w:val="en-GB"/>
              </w:rPr>
            </w:pPr>
            <w:r w:rsidRPr="002B128D">
              <w:rPr>
                <w:sz w:val="20"/>
                <w:szCs w:val="20"/>
                <w:lang w:val="en-GB"/>
              </w:rPr>
              <w:t>C</w:t>
            </w:r>
            <w:r w:rsidRPr="009C2DEB">
              <w:rPr>
                <w:sz w:val="20"/>
                <w:szCs w:val="20"/>
                <w:vertAlign w:val="subscript"/>
                <w:lang w:val="en-GB"/>
              </w:rPr>
              <w:t>max</w:t>
            </w:r>
            <w:r w:rsidRPr="002B128D">
              <w:rPr>
                <w:sz w:val="20"/>
                <w:szCs w:val="20"/>
                <w:lang w:val="en-GB"/>
              </w:rPr>
              <w:t xml:space="preserve"> (µg/mL)</w:t>
            </w:r>
          </w:p>
        </w:tc>
        <w:tc>
          <w:tcPr>
            <w:tcW w:w="180" w:type="pct"/>
            <w:tcBorders>
              <w:top w:val="nil"/>
              <w:left w:val="nil"/>
              <w:bottom w:val="nil"/>
              <w:right w:val="nil"/>
            </w:tcBorders>
            <w:vAlign w:val="center"/>
          </w:tcPr>
          <w:p w14:paraId="4CA6D9B8"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37FB58B0" w14:textId="77777777" w:rsidR="00D33E7E" w:rsidRPr="002B128D" w:rsidRDefault="00D33E7E" w:rsidP="00816178">
            <w:pPr>
              <w:jc w:val="center"/>
              <w:rPr>
                <w:sz w:val="20"/>
                <w:szCs w:val="20"/>
                <w:lang w:val="en-GB"/>
              </w:rPr>
            </w:pPr>
            <w:r w:rsidRPr="002B128D">
              <w:rPr>
                <w:sz w:val="20"/>
                <w:szCs w:val="20"/>
                <w:lang w:val="en-GB"/>
              </w:rPr>
              <w:t>0.37±0.14</w:t>
            </w:r>
          </w:p>
        </w:tc>
        <w:tc>
          <w:tcPr>
            <w:tcW w:w="180" w:type="pct"/>
            <w:tcBorders>
              <w:top w:val="nil"/>
              <w:left w:val="nil"/>
              <w:bottom w:val="nil"/>
              <w:right w:val="nil"/>
            </w:tcBorders>
            <w:vAlign w:val="center"/>
          </w:tcPr>
          <w:p w14:paraId="4086208B" w14:textId="77777777" w:rsidR="00D33E7E" w:rsidRPr="002B128D" w:rsidRDefault="00D33E7E" w:rsidP="00816178">
            <w:pPr>
              <w:jc w:val="center"/>
              <w:rPr>
                <w:sz w:val="20"/>
                <w:szCs w:val="20"/>
                <w:lang w:val="en-GB"/>
              </w:rPr>
            </w:pPr>
          </w:p>
        </w:tc>
        <w:tc>
          <w:tcPr>
            <w:tcW w:w="1064" w:type="pct"/>
            <w:tcBorders>
              <w:top w:val="nil"/>
              <w:left w:val="nil"/>
              <w:bottom w:val="nil"/>
              <w:right w:val="nil"/>
            </w:tcBorders>
            <w:vAlign w:val="center"/>
          </w:tcPr>
          <w:p w14:paraId="749B4EB5" w14:textId="77777777" w:rsidR="00D33E7E" w:rsidRPr="002B128D" w:rsidRDefault="00D33E7E" w:rsidP="00816178">
            <w:pPr>
              <w:jc w:val="center"/>
              <w:rPr>
                <w:sz w:val="20"/>
                <w:szCs w:val="20"/>
                <w:lang w:val="en-GB"/>
              </w:rPr>
            </w:pPr>
            <w:r w:rsidRPr="002B128D">
              <w:rPr>
                <w:sz w:val="20"/>
                <w:szCs w:val="20"/>
                <w:lang w:val="en-GB"/>
              </w:rPr>
              <w:t>0.40±0.13</w:t>
            </w:r>
          </w:p>
        </w:tc>
        <w:tc>
          <w:tcPr>
            <w:tcW w:w="310" w:type="pct"/>
            <w:tcBorders>
              <w:top w:val="nil"/>
              <w:left w:val="nil"/>
              <w:bottom w:val="nil"/>
              <w:right w:val="nil"/>
            </w:tcBorders>
            <w:vAlign w:val="center"/>
          </w:tcPr>
          <w:p w14:paraId="05276A45" w14:textId="77777777" w:rsidR="00D33E7E" w:rsidRPr="002B128D" w:rsidRDefault="00D33E7E" w:rsidP="00816178">
            <w:pPr>
              <w:jc w:val="center"/>
              <w:rPr>
                <w:sz w:val="20"/>
                <w:szCs w:val="20"/>
                <w:lang w:val="en-GB"/>
              </w:rPr>
            </w:pPr>
          </w:p>
        </w:tc>
        <w:tc>
          <w:tcPr>
            <w:tcW w:w="1063" w:type="pct"/>
            <w:tcBorders>
              <w:top w:val="nil"/>
              <w:left w:val="nil"/>
              <w:bottom w:val="nil"/>
              <w:right w:val="nil"/>
            </w:tcBorders>
            <w:vAlign w:val="center"/>
          </w:tcPr>
          <w:p w14:paraId="54249DED" w14:textId="77777777" w:rsidR="00D33E7E" w:rsidRPr="002B128D" w:rsidRDefault="00D33E7E" w:rsidP="00816178">
            <w:pPr>
              <w:jc w:val="center"/>
              <w:rPr>
                <w:sz w:val="20"/>
                <w:szCs w:val="20"/>
                <w:lang w:val="en-GB"/>
              </w:rPr>
            </w:pPr>
            <w:r w:rsidRPr="002B128D">
              <w:rPr>
                <w:sz w:val="20"/>
                <w:szCs w:val="20"/>
                <w:lang w:val="en-GB"/>
              </w:rPr>
              <w:t>0.37±0.12</w:t>
            </w:r>
          </w:p>
        </w:tc>
      </w:tr>
      <w:tr w:rsidR="00D33E7E" w:rsidRPr="002B128D" w14:paraId="5BD3CAD7" w14:textId="77777777" w:rsidTr="00816178">
        <w:trPr>
          <w:trHeight w:val="340"/>
        </w:trPr>
        <w:tc>
          <w:tcPr>
            <w:tcW w:w="1139" w:type="pct"/>
            <w:tcBorders>
              <w:top w:val="nil"/>
              <w:left w:val="nil"/>
              <w:right w:val="nil"/>
            </w:tcBorders>
            <w:vAlign w:val="center"/>
          </w:tcPr>
          <w:p w14:paraId="64CE7BA4" w14:textId="77777777" w:rsidR="00D33E7E" w:rsidRPr="002B128D" w:rsidRDefault="00D33E7E" w:rsidP="00816178">
            <w:pPr>
              <w:rPr>
                <w:sz w:val="20"/>
                <w:szCs w:val="20"/>
                <w:lang w:val="en-GB"/>
              </w:rPr>
            </w:pPr>
            <w:r w:rsidRPr="002B128D">
              <w:rPr>
                <w:sz w:val="20"/>
                <w:szCs w:val="20"/>
                <w:lang w:val="en-GB"/>
              </w:rPr>
              <w:t>T</w:t>
            </w:r>
            <w:r w:rsidRPr="009C2DEB">
              <w:rPr>
                <w:sz w:val="20"/>
                <w:szCs w:val="20"/>
                <w:vertAlign w:val="subscript"/>
                <w:lang w:val="en-GB"/>
              </w:rPr>
              <w:t>max</w:t>
            </w:r>
            <w:r w:rsidRPr="002B128D">
              <w:rPr>
                <w:sz w:val="20"/>
                <w:szCs w:val="20"/>
                <w:lang w:val="en-GB"/>
              </w:rPr>
              <w:t xml:space="preserve"> (min)</w:t>
            </w:r>
          </w:p>
        </w:tc>
        <w:tc>
          <w:tcPr>
            <w:tcW w:w="180" w:type="pct"/>
            <w:tcBorders>
              <w:top w:val="nil"/>
              <w:left w:val="nil"/>
              <w:right w:val="nil"/>
            </w:tcBorders>
            <w:vAlign w:val="center"/>
          </w:tcPr>
          <w:p w14:paraId="606A415B" w14:textId="77777777" w:rsidR="00D33E7E" w:rsidRPr="002B128D" w:rsidRDefault="00D33E7E" w:rsidP="00816178">
            <w:pPr>
              <w:jc w:val="center"/>
              <w:rPr>
                <w:sz w:val="20"/>
                <w:szCs w:val="20"/>
                <w:lang w:val="en-GB"/>
              </w:rPr>
            </w:pPr>
          </w:p>
        </w:tc>
        <w:tc>
          <w:tcPr>
            <w:tcW w:w="1063" w:type="pct"/>
            <w:tcBorders>
              <w:top w:val="nil"/>
              <w:left w:val="nil"/>
              <w:right w:val="nil"/>
            </w:tcBorders>
            <w:vAlign w:val="center"/>
          </w:tcPr>
          <w:p w14:paraId="675A26C9" w14:textId="77777777" w:rsidR="00D33E7E" w:rsidRPr="002B128D" w:rsidRDefault="00D33E7E" w:rsidP="00816178">
            <w:pPr>
              <w:jc w:val="center"/>
              <w:rPr>
                <w:sz w:val="20"/>
                <w:szCs w:val="20"/>
                <w:lang w:val="en-GB"/>
              </w:rPr>
            </w:pPr>
            <w:r w:rsidRPr="002B128D">
              <w:rPr>
                <w:sz w:val="20"/>
                <w:szCs w:val="20"/>
                <w:lang w:val="en-GB"/>
              </w:rPr>
              <w:t>9.17±2.04</w:t>
            </w:r>
          </w:p>
        </w:tc>
        <w:tc>
          <w:tcPr>
            <w:tcW w:w="180" w:type="pct"/>
            <w:tcBorders>
              <w:top w:val="nil"/>
              <w:left w:val="nil"/>
              <w:right w:val="nil"/>
            </w:tcBorders>
            <w:vAlign w:val="center"/>
          </w:tcPr>
          <w:p w14:paraId="088EC7FC" w14:textId="77777777" w:rsidR="00D33E7E" w:rsidRPr="002B128D" w:rsidRDefault="00D33E7E" w:rsidP="00816178">
            <w:pPr>
              <w:jc w:val="center"/>
              <w:rPr>
                <w:sz w:val="20"/>
                <w:szCs w:val="20"/>
                <w:lang w:val="en-GB"/>
              </w:rPr>
            </w:pPr>
          </w:p>
        </w:tc>
        <w:tc>
          <w:tcPr>
            <w:tcW w:w="1064" w:type="pct"/>
            <w:tcBorders>
              <w:top w:val="nil"/>
              <w:left w:val="nil"/>
              <w:right w:val="nil"/>
            </w:tcBorders>
            <w:vAlign w:val="center"/>
          </w:tcPr>
          <w:p w14:paraId="689AD5A7" w14:textId="77777777" w:rsidR="00D33E7E" w:rsidRPr="00586426" w:rsidRDefault="00D33E7E" w:rsidP="00816178">
            <w:pPr>
              <w:jc w:val="center"/>
              <w:rPr>
                <w:sz w:val="20"/>
                <w:szCs w:val="20"/>
                <w:lang w:val="en-GB"/>
              </w:rPr>
            </w:pPr>
            <w:r w:rsidRPr="00586426">
              <w:rPr>
                <w:sz w:val="20"/>
                <w:szCs w:val="20"/>
                <w:lang w:val="en-GB"/>
              </w:rPr>
              <w:t>11.67±4.08</w:t>
            </w:r>
          </w:p>
        </w:tc>
        <w:tc>
          <w:tcPr>
            <w:tcW w:w="310" w:type="pct"/>
            <w:tcBorders>
              <w:top w:val="nil"/>
              <w:left w:val="nil"/>
              <w:right w:val="nil"/>
            </w:tcBorders>
            <w:vAlign w:val="center"/>
          </w:tcPr>
          <w:p w14:paraId="17034FF9" w14:textId="77777777" w:rsidR="00D33E7E" w:rsidRPr="00586426" w:rsidRDefault="00D33E7E" w:rsidP="00816178">
            <w:pPr>
              <w:jc w:val="center"/>
              <w:rPr>
                <w:sz w:val="20"/>
                <w:szCs w:val="20"/>
                <w:lang w:val="en-GB"/>
              </w:rPr>
            </w:pPr>
          </w:p>
        </w:tc>
        <w:tc>
          <w:tcPr>
            <w:tcW w:w="1063" w:type="pct"/>
            <w:tcBorders>
              <w:top w:val="nil"/>
              <w:left w:val="nil"/>
              <w:right w:val="nil"/>
            </w:tcBorders>
            <w:vAlign w:val="center"/>
          </w:tcPr>
          <w:p w14:paraId="751FB0F0" w14:textId="77777777" w:rsidR="00D33E7E" w:rsidRPr="00586426" w:rsidRDefault="00D33E7E" w:rsidP="00816178">
            <w:pPr>
              <w:jc w:val="center"/>
              <w:rPr>
                <w:sz w:val="20"/>
                <w:szCs w:val="20"/>
                <w:lang w:val="en-GB"/>
              </w:rPr>
            </w:pPr>
            <w:r w:rsidRPr="00586426">
              <w:rPr>
                <w:sz w:val="20"/>
                <w:szCs w:val="20"/>
                <w:lang w:val="en-GB"/>
              </w:rPr>
              <w:t>11.67±4.08</w:t>
            </w:r>
          </w:p>
        </w:tc>
      </w:tr>
    </w:tbl>
    <w:p w14:paraId="67198A6C" w14:textId="77777777" w:rsidR="00F5065C" w:rsidRPr="00E32F69" w:rsidRDefault="00426080" w:rsidP="00D33E7E">
      <w:pPr>
        <w:spacing w:after="200" w:line="276" w:lineRule="auto"/>
        <w:outlineLvl w:val="0"/>
        <w:rPr>
          <w:b/>
        </w:rPr>
      </w:pPr>
      <w:r w:rsidRPr="00E32F69">
        <w:rPr>
          <w:b/>
        </w:rPr>
        <w:br w:type="page"/>
      </w:r>
    </w:p>
    <w:p w14:paraId="59E035C9" w14:textId="77777777" w:rsidR="00426080" w:rsidRPr="00E32F69" w:rsidRDefault="00F5065C" w:rsidP="00907546">
      <w:pPr>
        <w:spacing w:line="480" w:lineRule="auto"/>
        <w:rPr>
          <w:b/>
        </w:rPr>
      </w:pPr>
      <w:r w:rsidRPr="00E32F69">
        <w:rPr>
          <w:b/>
        </w:rPr>
        <w:lastRenderedPageBreak/>
        <w:t>Figure legends</w:t>
      </w:r>
    </w:p>
    <w:p w14:paraId="097C5716" w14:textId="77777777" w:rsidR="005879F6" w:rsidRDefault="005879F6" w:rsidP="00907546">
      <w:pPr>
        <w:spacing w:line="480" w:lineRule="auto"/>
      </w:pPr>
    </w:p>
    <w:p w14:paraId="757EB7F7" w14:textId="068ED694" w:rsidR="00D33E7E" w:rsidRDefault="00F66797" w:rsidP="00907546">
      <w:pPr>
        <w:spacing w:line="480" w:lineRule="auto"/>
      </w:pPr>
      <w:r>
        <w:t xml:space="preserve">Figure </w:t>
      </w:r>
      <w:r w:rsidR="00F5065C" w:rsidRPr="00E32F69">
        <w:t xml:space="preserve">1. </w:t>
      </w:r>
      <w:r w:rsidR="00D33E7E" w:rsidRPr="00D33E7E">
        <w:t xml:space="preserve">Mean plasma concentrations of </w:t>
      </w:r>
      <w:r w:rsidR="00052C68">
        <w:t>R</w:t>
      </w:r>
      <w:r w:rsidR="00D33E7E" w:rsidRPr="00D33E7E">
        <w:t xml:space="preserve">-ketamine and </w:t>
      </w:r>
      <w:r w:rsidR="00052C68">
        <w:t>S</w:t>
      </w:r>
      <w:r w:rsidR="00D33E7E" w:rsidRPr="00D33E7E">
        <w:t>-ketamine in the RS-KET group (A) and S-ketamine in the S-KET group (B), after administration of racemic ketamine 4 mg/kg or S-ketamine 2 mg/kg, respectively, to 6 dogs anaesthetized with sevoflurane in oxygen.</w:t>
      </w:r>
    </w:p>
    <w:p w14:paraId="467F674A" w14:textId="545FE34C" w:rsidR="0074072C" w:rsidRDefault="0074072C">
      <w:r>
        <w:rPr>
          <w:iCs/>
          <w:noProof/>
        </w:rPr>
        <w:drawing>
          <wp:inline distT="0" distB="0" distL="0" distR="0" wp14:anchorId="36D8B2A4" wp14:editId="2169FFC3">
            <wp:extent cx="4843602" cy="6724982"/>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6052" cy="6770037"/>
                    </a:xfrm>
                    <a:prstGeom prst="rect">
                      <a:avLst/>
                    </a:prstGeom>
                    <a:noFill/>
                    <a:ln>
                      <a:noFill/>
                    </a:ln>
                  </pic:spPr>
                </pic:pic>
              </a:graphicData>
            </a:graphic>
          </wp:inline>
        </w:drawing>
      </w:r>
      <w:r>
        <w:br w:type="page"/>
      </w:r>
    </w:p>
    <w:p w14:paraId="19646BFB" w14:textId="278578FE" w:rsidR="00F5065C" w:rsidRDefault="00F66797" w:rsidP="00907546">
      <w:pPr>
        <w:spacing w:line="480" w:lineRule="auto"/>
      </w:pPr>
      <w:r>
        <w:lastRenderedPageBreak/>
        <w:t>Figure</w:t>
      </w:r>
      <w:r w:rsidR="00E538E9" w:rsidRPr="00E32F69">
        <w:t xml:space="preserve"> 2. </w:t>
      </w:r>
      <w:r w:rsidR="00D33E7E" w:rsidRPr="00D33E7E">
        <w:t>Mean plasma concentrations of R-norketamine and S-norketamine in the RS-KET group (A) and S-norketamine in the S-KET group (B), after administration of racemic ketamine 4 mg/kg or S-ketamine 2 mg/kg, respectively, to 6 dogs anaesthetized with sevoflurane in oxygen.</w:t>
      </w:r>
    </w:p>
    <w:p w14:paraId="5896ED89" w14:textId="1B83E218" w:rsidR="0074072C" w:rsidRPr="00E538E9" w:rsidRDefault="0074072C" w:rsidP="00907546">
      <w:pPr>
        <w:spacing w:line="480" w:lineRule="auto"/>
        <w:rPr>
          <w:iCs/>
        </w:rPr>
      </w:pPr>
      <w:r>
        <w:rPr>
          <w:iCs/>
          <w:noProof/>
        </w:rPr>
        <w:drawing>
          <wp:inline distT="0" distB="0" distL="0" distR="0" wp14:anchorId="1ADA8E34" wp14:editId="3FC8C5A3">
            <wp:extent cx="5008730" cy="6989197"/>
            <wp:effectExtent l="0" t="0" r="1905" b="254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17893" cy="7001983"/>
                    </a:xfrm>
                    <a:prstGeom prst="rect">
                      <a:avLst/>
                    </a:prstGeom>
                    <a:noFill/>
                    <a:ln>
                      <a:noFill/>
                    </a:ln>
                  </pic:spPr>
                </pic:pic>
              </a:graphicData>
            </a:graphic>
          </wp:inline>
        </w:drawing>
      </w:r>
    </w:p>
    <w:sectPr w:rsidR="0074072C" w:rsidRPr="00E538E9" w:rsidSect="00895F31">
      <w:pgSz w:w="11907" w:h="16840" w:code="9"/>
      <w:pgMar w:top="1418" w:right="1418" w:bottom="1418" w:left="1418" w:header="720" w:footer="720" w:gutter="0"/>
      <w:lnNumType w:countBy="1" w:start="42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16DED0" w14:textId="77777777" w:rsidR="009F1F6E" w:rsidRDefault="009F1F6E">
      <w:r>
        <w:separator/>
      </w:r>
    </w:p>
  </w:endnote>
  <w:endnote w:type="continuationSeparator" w:id="0">
    <w:p w14:paraId="5A116755" w14:textId="77777777" w:rsidR="009F1F6E" w:rsidRDefault="009F1F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TimesNewRoman">
    <w:altName w:val="Times New Roman"/>
    <w:panose1 w:val="00000000000000000000"/>
    <w:charset w:val="00"/>
    <w:family w:val="roman"/>
    <w:notTrueType/>
    <w:pitch w:val="default"/>
  </w:font>
  <w:font w:name="Helvetica">
    <w:panose1 w:val="020B06040202020202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D3EEC0" w14:textId="77777777" w:rsidR="00F81DBD" w:rsidRDefault="00F81DBD" w:rsidP="005B175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37B0F85" w14:textId="77777777" w:rsidR="00F81DBD" w:rsidRDefault="00F81DBD" w:rsidP="002532E2">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CA7A4A" w14:textId="590C50AE" w:rsidR="00F81DBD" w:rsidRDefault="00F81DBD" w:rsidP="005B175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75538">
      <w:rPr>
        <w:rStyle w:val="Numeropagina"/>
        <w:noProof/>
      </w:rPr>
      <w:t>8</w:t>
    </w:r>
    <w:r>
      <w:rPr>
        <w:rStyle w:val="Numeropagina"/>
      </w:rPr>
      <w:fldChar w:fldCharType="end"/>
    </w:r>
  </w:p>
  <w:p w14:paraId="54C23F20" w14:textId="77777777" w:rsidR="00F81DBD" w:rsidRDefault="00F81DBD" w:rsidP="002532E2">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6E96DA" w14:textId="77777777" w:rsidR="009F1F6E" w:rsidRDefault="009F1F6E">
      <w:r>
        <w:separator/>
      </w:r>
    </w:p>
  </w:footnote>
  <w:footnote w:type="continuationSeparator" w:id="0">
    <w:p w14:paraId="775E21B2" w14:textId="77777777" w:rsidR="009F1F6E" w:rsidRDefault="009F1F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FE80202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B90B6D"/>
    <w:multiLevelType w:val="hybridMultilevel"/>
    <w:tmpl w:val="15223B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214028"/>
    <w:multiLevelType w:val="hybridMultilevel"/>
    <w:tmpl w:val="18FCC2F0"/>
    <w:lvl w:ilvl="0" w:tplc="80223F8C">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0F21796"/>
    <w:multiLevelType w:val="hybridMultilevel"/>
    <w:tmpl w:val="27684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157971"/>
    <w:multiLevelType w:val="hybridMultilevel"/>
    <w:tmpl w:val="803C0A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16F3CFA"/>
    <w:multiLevelType w:val="hybridMultilevel"/>
    <w:tmpl w:val="E73CA0D6"/>
    <w:lvl w:ilvl="0" w:tplc="80223F8C">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21F0DEA"/>
    <w:multiLevelType w:val="hybridMultilevel"/>
    <w:tmpl w:val="FBC66E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23B0B52"/>
    <w:multiLevelType w:val="hybridMultilevel"/>
    <w:tmpl w:val="D1066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C33318E"/>
    <w:multiLevelType w:val="hybridMultilevel"/>
    <w:tmpl w:val="AB822452"/>
    <w:lvl w:ilvl="0" w:tplc="80223F8C">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70CC2292"/>
    <w:multiLevelType w:val="hybridMultilevel"/>
    <w:tmpl w:val="C7C09F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5051368"/>
    <w:multiLevelType w:val="hybridMultilevel"/>
    <w:tmpl w:val="48CABE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F855E7E"/>
    <w:multiLevelType w:val="hybridMultilevel"/>
    <w:tmpl w:val="5B80D322"/>
    <w:lvl w:ilvl="0" w:tplc="80223F8C">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11"/>
  </w:num>
  <w:num w:numId="4">
    <w:abstractNumId w:val="2"/>
  </w:num>
  <w:num w:numId="5">
    <w:abstractNumId w:val="8"/>
  </w:num>
  <w:num w:numId="6">
    <w:abstractNumId w:val="4"/>
  </w:num>
  <w:num w:numId="7">
    <w:abstractNumId w:val="1"/>
  </w:num>
  <w:num w:numId="8">
    <w:abstractNumId w:val="5"/>
  </w:num>
  <w:num w:numId="9">
    <w:abstractNumId w:val="7"/>
  </w:num>
  <w:num w:numId="10">
    <w:abstractNumId w:val="9"/>
  </w:num>
  <w:num w:numId="11">
    <w:abstractNumId w:val="3"/>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20"/>
  <w:hyphenationZone w:val="283"/>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D1FA9"/>
    <w:rsid w:val="00002038"/>
    <w:rsid w:val="00005B91"/>
    <w:rsid w:val="00014046"/>
    <w:rsid w:val="00014C7E"/>
    <w:rsid w:val="00015256"/>
    <w:rsid w:val="00016A76"/>
    <w:rsid w:val="000176A6"/>
    <w:rsid w:val="00030D12"/>
    <w:rsid w:val="00031C98"/>
    <w:rsid w:val="00033099"/>
    <w:rsid w:val="0003565C"/>
    <w:rsid w:val="000423FB"/>
    <w:rsid w:val="00050EEC"/>
    <w:rsid w:val="00052C68"/>
    <w:rsid w:val="0006428A"/>
    <w:rsid w:val="0006779E"/>
    <w:rsid w:val="0007007D"/>
    <w:rsid w:val="0007398D"/>
    <w:rsid w:val="000754F0"/>
    <w:rsid w:val="0007621C"/>
    <w:rsid w:val="000829E0"/>
    <w:rsid w:val="0009015F"/>
    <w:rsid w:val="00092AFC"/>
    <w:rsid w:val="000953FC"/>
    <w:rsid w:val="00095574"/>
    <w:rsid w:val="000A0B0E"/>
    <w:rsid w:val="000A6CC6"/>
    <w:rsid w:val="000B1777"/>
    <w:rsid w:val="000B268E"/>
    <w:rsid w:val="000B3355"/>
    <w:rsid w:val="000B6816"/>
    <w:rsid w:val="000C0151"/>
    <w:rsid w:val="000C06E4"/>
    <w:rsid w:val="000E17E3"/>
    <w:rsid w:val="000F1367"/>
    <w:rsid w:val="000F4FD4"/>
    <w:rsid w:val="000F5F62"/>
    <w:rsid w:val="0010102E"/>
    <w:rsid w:val="00103F71"/>
    <w:rsid w:val="001040C4"/>
    <w:rsid w:val="00105D8B"/>
    <w:rsid w:val="0010631C"/>
    <w:rsid w:val="001070DB"/>
    <w:rsid w:val="0011114A"/>
    <w:rsid w:val="001223A9"/>
    <w:rsid w:val="001247C2"/>
    <w:rsid w:val="00124ADF"/>
    <w:rsid w:val="00124E2F"/>
    <w:rsid w:val="00133FD4"/>
    <w:rsid w:val="00135ED2"/>
    <w:rsid w:val="00137E64"/>
    <w:rsid w:val="00140970"/>
    <w:rsid w:val="001439E8"/>
    <w:rsid w:val="00145F92"/>
    <w:rsid w:val="00161A1E"/>
    <w:rsid w:val="00167463"/>
    <w:rsid w:val="001701FF"/>
    <w:rsid w:val="00171AC0"/>
    <w:rsid w:val="001777BE"/>
    <w:rsid w:val="00177DFE"/>
    <w:rsid w:val="00182AD9"/>
    <w:rsid w:val="00184A7D"/>
    <w:rsid w:val="0019134E"/>
    <w:rsid w:val="001919E3"/>
    <w:rsid w:val="00194C1F"/>
    <w:rsid w:val="001A5028"/>
    <w:rsid w:val="001B0AB3"/>
    <w:rsid w:val="001B203E"/>
    <w:rsid w:val="001B4D6F"/>
    <w:rsid w:val="001B7FF1"/>
    <w:rsid w:val="001C06E0"/>
    <w:rsid w:val="001C0E88"/>
    <w:rsid w:val="001C2191"/>
    <w:rsid w:val="001C3A49"/>
    <w:rsid w:val="001D25DD"/>
    <w:rsid w:val="001E57D2"/>
    <w:rsid w:val="001E7AFA"/>
    <w:rsid w:val="001F07F2"/>
    <w:rsid w:val="001F3E6F"/>
    <w:rsid w:val="001F602B"/>
    <w:rsid w:val="001F7FA7"/>
    <w:rsid w:val="00204836"/>
    <w:rsid w:val="00207DC0"/>
    <w:rsid w:val="00210030"/>
    <w:rsid w:val="00213642"/>
    <w:rsid w:val="00215048"/>
    <w:rsid w:val="00216910"/>
    <w:rsid w:val="00223418"/>
    <w:rsid w:val="002240D9"/>
    <w:rsid w:val="00225CE6"/>
    <w:rsid w:val="00232A4D"/>
    <w:rsid w:val="00243A5C"/>
    <w:rsid w:val="00244010"/>
    <w:rsid w:val="00245951"/>
    <w:rsid w:val="00247D18"/>
    <w:rsid w:val="002529A8"/>
    <w:rsid w:val="002532E2"/>
    <w:rsid w:val="0025404E"/>
    <w:rsid w:val="00256D94"/>
    <w:rsid w:val="0027243B"/>
    <w:rsid w:val="00273585"/>
    <w:rsid w:val="00274C07"/>
    <w:rsid w:val="002750C2"/>
    <w:rsid w:val="00280385"/>
    <w:rsid w:val="0028714F"/>
    <w:rsid w:val="00292011"/>
    <w:rsid w:val="002928EE"/>
    <w:rsid w:val="002A0977"/>
    <w:rsid w:val="002A1C69"/>
    <w:rsid w:val="002A2459"/>
    <w:rsid w:val="002C02C1"/>
    <w:rsid w:val="002C29FB"/>
    <w:rsid w:val="002C4B28"/>
    <w:rsid w:val="002E54AF"/>
    <w:rsid w:val="002E6E53"/>
    <w:rsid w:val="002F20D1"/>
    <w:rsid w:val="002F5C92"/>
    <w:rsid w:val="002F617F"/>
    <w:rsid w:val="002F6215"/>
    <w:rsid w:val="00301A69"/>
    <w:rsid w:val="003040C2"/>
    <w:rsid w:val="00315921"/>
    <w:rsid w:val="0033625E"/>
    <w:rsid w:val="00341BCB"/>
    <w:rsid w:val="0036544F"/>
    <w:rsid w:val="0036620A"/>
    <w:rsid w:val="00367616"/>
    <w:rsid w:val="003733AD"/>
    <w:rsid w:val="00375255"/>
    <w:rsid w:val="00381788"/>
    <w:rsid w:val="00385780"/>
    <w:rsid w:val="0039308D"/>
    <w:rsid w:val="00394B6C"/>
    <w:rsid w:val="003A4273"/>
    <w:rsid w:val="003A6C46"/>
    <w:rsid w:val="003B0389"/>
    <w:rsid w:val="003B2F03"/>
    <w:rsid w:val="003B38F7"/>
    <w:rsid w:val="003C2590"/>
    <w:rsid w:val="003C33B8"/>
    <w:rsid w:val="003C65CB"/>
    <w:rsid w:val="003D033B"/>
    <w:rsid w:val="003D52F0"/>
    <w:rsid w:val="003D7E77"/>
    <w:rsid w:val="003E6696"/>
    <w:rsid w:val="003E737F"/>
    <w:rsid w:val="003F3B69"/>
    <w:rsid w:val="00401542"/>
    <w:rsid w:val="004069BF"/>
    <w:rsid w:val="00414C65"/>
    <w:rsid w:val="004170F1"/>
    <w:rsid w:val="00425240"/>
    <w:rsid w:val="00426080"/>
    <w:rsid w:val="0042700F"/>
    <w:rsid w:val="00430E54"/>
    <w:rsid w:val="00433FA7"/>
    <w:rsid w:val="004409A3"/>
    <w:rsid w:val="00440F6A"/>
    <w:rsid w:val="00442D46"/>
    <w:rsid w:val="00451E51"/>
    <w:rsid w:val="00451F79"/>
    <w:rsid w:val="004558BC"/>
    <w:rsid w:val="0046310C"/>
    <w:rsid w:val="00470E77"/>
    <w:rsid w:val="0047581B"/>
    <w:rsid w:val="0047592C"/>
    <w:rsid w:val="00483E62"/>
    <w:rsid w:val="004A14A2"/>
    <w:rsid w:val="004A2D5A"/>
    <w:rsid w:val="004B2707"/>
    <w:rsid w:val="004B5098"/>
    <w:rsid w:val="004B5E2F"/>
    <w:rsid w:val="004C1AAC"/>
    <w:rsid w:val="004C52FE"/>
    <w:rsid w:val="004C76F9"/>
    <w:rsid w:val="004D2251"/>
    <w:rsid w:val="004E1047"/>
    <w:rsid w:val="004E1E9B"/>
    <w:rsid w:val="004E35B2"/>
    <w:rsid w:val="004F5699"/>
    <w:rsid w:val="004F6916"/>
    <w:rsid w:val="00506B40"/>
    <w:rsid w:val="00510E70"/>
    <w:rsid w:val="00516B9B"/>
    <w:rsid w:val="00522CC5"/>
    <w:rsid w:val="00523879"/>
    <w:rsid w:val="00527CEB"/>
    <w:rsid w:val="00532D4F"/>
    <w:rsid w:val="00534D83"/>
    <w:rsid w:val="00543445"/>
    <w:rsid w:val="0054457E"/>
    <w:rsid w:val="00546D70"/>
    <w:rsid w:val="00550486"/>
    <w:rsid w:val="0055649F"/>
    <w:rsid w:val="005564AB"/>
    <w:rsid w:val="0057203A"/>
    <w:rsid w:val="00573682"/>
    <w:rsid w:val="0057393C"/>
    <w:rsid w:val="00575475"/>
    <w:rsid w:val="00581D00"/>
    <w:rsid w:val="00581DD9"/>
    <w:rsid w:val="005821AA"/>
    <w:rsid w:val="00584EC9"/>
    <w:rsid w:val="0058608B"/>
    <w:rsid w:val="00586426"/>
    <w:rsid w:val="005879F6"/>
    <w:rsid w:val="00587F6B"/>
    <w:rsid w:val="0059492D"/>
    <w:rsid w:val="00594CA6"/>
    <w:rsid w:val="00596891"/>
    <w:rsid w:val="0059779F"/>
    <w:rsid w:val="005A7BE6"/>
    <w:rsid w:val="005B175A"/>
    <w:rsid w:val="005B2DAF"/>
    <w:rsid w:val="005B48D3"/>
    <w:rsid w:val="005B4EF7"/>
    <w:rsid w:val="005C031A"/>
    <w:rsid w:val="005C1A23"/>
    <w:rsid w:val="005D030D"/>
    <w:rsid w:val="005D29E2"/>
    <w:rsid w:val="005D60B9"/>
    <w:rsid w:val="005D7624"/>
    <w:rsid w:val="005E0F66"/>
    <w:rsid w:val="005E507D"/>
    <w:rsid w:val="005F1D68"/>
    <w:rsid w:val="00600095"/>
    <w:rsid w:val="00600F0F"/>
    <w:rsid w:val="00602271"/>
    <w:rsid w:val="006070A4"/>
    <w:rsid w:val="00612376"/>
    <w:rsid w:val="00612AA6"/>
    <w:rsid w:val="00615F9F"/>
    <w:rsid w:val="00616B44"/>
    <w:rsid w:val="00617F65"/>
    <w:rsid w:val="00624704"/>
    <w:rsid w:val="00625032"/>
    <w:rsid w:val="00625E09"/>
    <w:rsid w:val="006322A4"/>
    <w:rsid w:val="00640875"/>
    <w:rsid w:val="006408FC"/>
    <w:rsid w:val="00640E74"/>
    <w:rsid w:val="0064588F"/>
    <w:rsid w:val="00647418"/>
    <w:rsid w:val="00651665"/>
    <w:rsid w:val="00662FE8"/>
    <w:rsid w:val="0067448B"/>
    <w:rsid w:val="0067468C"/>
    <w:rsid w:val="006916AA"/>
    <w:rsid w:val="00697472"/>
    <w:rsid w:val="006A22B2"/>
    <w:rsid w:val="006A687F"/>
    <w:rsid w:val="006B594F"/>
    <w:rsid w:val="006B6A1C"/>
    <w:rsid w:val="006C5BCF"/>
    <w:rsid w:val="006D0BC7"/>
    <w:rsid w:val="006D17FC"/>
    <w:rsid w:val="006D32E8"/>
    <w:rsid w:val="006D78FB"/>
    <w:rsid w:val="006F0F85"/>
    <w:rsid w:val="006F1F52"/>
    <w:rsid w:val="006F2AD6"/>
    <w:rsid w:val="0071160C"/>
    <w:rsid w:val="00712D7D"/>
    <w:rsid w:val="00721015"/>
    <w:rsid w:val="0074072C"/>
    <w:rsid w:val="00742F24"/>
    <w:rsid w:val="00761658"/>
    <w:rsid w:val="007704A1"/>
    <w:rsid w:val="007731A4"/>
    <w:rsid w:val="007739A5"/>
    <w:rsid w:val="00774E01"/>
    <w:rsid w:val="00777F3A"/>
    <w:rsid w:val="00781963"/>
    <w:rsid w:val="00784A05"/>
    <w:rsid w:val="00787C44"/>
    <w:rsid w:val="00790A7C"/>
    <w:rsid w:val="00791705"/>
    <w:rsid w:val="00791F50"/>
    <w:rsid w:val="007974A0"/>
    <w:rsid w:val="007A5247"/>
    <w:rsid w:val="007A625F"/>
    <w:rsid w:val="007B05CB"/>
    <w:rsid w:val="007B4855"/>
    <w:rsid w:val="007B492B"/>
    <w:rsid w:val="007B4F9C"/>
    <w:rsid w:val="007B6DB0"/>
    <w:rsid w:val="007C6765"/>
    <w:rsid w:val="007C7FAE"/>
    <w:rsid w:val="007D2EFD"/>
    <w:rsid w:val="007D3B12"/>
    <w:rsid w:val="007D3E96"/>
    <w:rsid w:val="007F34E2"/>
    <w:rsid w:val="007F5671"/>
    <w:rsid w:val="00800227"/>
    <w:rsid w:val="0080320A"/>
    <w:rsid w:val="008069D2"/>
    <w:rsid w:val="0080746F"/>
    <w:rsid w:val="00810055"/>
    <w:rsid w:val="00810697"/>
    <w:rsid w:val="00816178"/>
    <w:rsid w:val="00820614"/>
    <w:rsid w:val="008233DF"/>
    <w:rsid w:val="008317E2"/>
    <w:rsid w:val="008327C5"/>
    <w:rsid w:val="008366D4"/>
    <w:rsid w:val="00840D6D"/>
    <w:rsid w:val="008540C8"/>
    <w:rsid w:val="008669D3"/>
    <w:rsid w:val="00867E67"/>
    <w:rsid w:val="00881D62"/>
    <w:rsid w:val="0088649A"/>
    <w:rsid w:val="00892A2B"/>
    <w:rsid w:val="00895F31"/>
    <w:rsid w:val="00896712"/>
    <w:rsid w:val="008B153E"/>
    <w:rsid w:val="008B4819"/>
    <w:rsid w:val="008C08E3"/>
    <w:rsid w:val="008C2675"/>
    <w:rsid w:val="008C3092"/>
    <w:rsid w:val="008D19FE"/>
    <w:rsid w:val="008F0862"/>
    <w:rsid w:val="008F1A43"/>
    <w:rsid w:val="00904D31"/>
    <w:rsid w:val="00907546"/>
    <w:rsid w:val="00911CF8"/>
    <w:rsid w:val="00917404"/>
    <w:rsid w:val="00917BA3"/>
    <w:rsid w:val="00917D3D"/>
    <w:rsid w:val="00923BED"/>
    <w:rsid w:val="00925B94"/>
    <w:rsid w:val="00927789"/>
    <w:rsid w:val="00931377"/>
    <w:rsid w:val="009357E6"/>
    <w:rsid w:val="009358C4"/>
    <w:rsid w:val="00937148"/>
    <w:rsid w:val="00954499"/>
    <w:rsid w:val="009570AC"/>
    <w:rsid w:val="00960C72"/>
    <w:rsid w:val="00962208"/>
    <w:rsid w:val="009715E0"/>
    <w:rsid w:val="00972135"/>
    <w:rsid w:val="00973EEB"/>
    <w:rsid w:val="00975302"/>
    <w:rsid w:val="0097534B"/>
    <w:rsid w:val="0097543F"/>
    <w:rsid w:val="00985234"/>
    <w:rsid w:val="009869E2"/>
    <w:rsid w:val="00992720"/>
    <w:rsid w:val="009952C1"/>
    <w:rsid w:val="00995811"/>
    <w:rsid w:val="0099599E"/>
    <w:rsid w:val="009C2DEB"/>
    <w:rsid w:val="009C5953"/>
    <w:rsid w:val="009D31ED"/>
    <w:rsid w:val="009D3232"/>
    <w:rsid w:val="009D46A7"/>
    <w:rsid w:val="009D4C9C"/>
    <w:rsid w:val="009D5F4D"/>
    <w:rsid w:val="009E3441"/>
    <w:rsid w:val="009E60F4"/>
    <w:rsid w:val="009F1F6E"/>
    <w:rsid w:val="009F57BF"/>
    <w:rsid w:val="009F62A5"/>
    <w:rsid w:val="00A012ED"/>
    <w:rsid w:val="00A02E93"/>
    <w:rsid w:val="00A11D2A"/>
    <w:rsid w:val="00A16CB7"/>
    <w:rsid w:val="00A26831"/>
    <w:rsid w:val="00A51A4C"/>
    <w:rsid w:val="00A54DDA"/>
    <w:rsid w:val="00A56A2A"/>
    <w:rsid w:val="00A57083"/>
    <w:rsid w:val="00A5775F"/>
    <w:rsid w:val="00A60AB2"/>
    <w:rsid w:val="00A62BCA"/>
    <w:rsid w:val="00A64079"/>
    <w:rsid w:val="00A662EA"/>
    <w:rsid w:val="00A80B16"/>
    <w:rsid w:val="00A82454"/>
    <w:rsid w:val="00A83AC8"/>
    <w:rsid w:val="00A95994"/>
    <w:rsid w:val="00A96745"/>
    <w:rsid w:val="00AA2AF5"/>
    <w:rsid w:val="00AA367C"/>
    <w:rsid w:val="00AA6175"/>
    <w:rsid w:val="00AB28DE"/>
    <w:rsid w:val="00AB4420"/>
    <w:rsid w:val="00AB7251"/>
    <w:rsid w:val="00AB79F5"/>
    <w:rsid w:val="00AB7FC9"/>
    <w:rsid w:val="00AC015F"/>
    <w:rsid w:val="00AC3E8E"/>
    <w:rsid w:val="00AC472C"/>
    <w:rsid w:val="00AC6746"/>
    <w:rsid w:val="00AC73E9"/>
    <w:rsid w:val="00AC7E99"/>
    <w:rsid w:val="00AD0B41"/>
    <w:rsid w:val="00AD1FA9"/>
    <w:rsid w:val="00AD253A"/>
    <w:rsid w:val="00AD556D"/>
    <w:rsid w:val="00AE0A74"/>
    <w:rsid w:val="00AE29B4"/>
    <w:rsid w:val="00AE2B1A"/>
    <w:rsid w:val="00AE5345"/>
    <w:rsid w:val="00AE62D8"/>
    <w:rsid w:val="00AE760A"/>
    <w:rsid w:val="00AF2EFE"/>
    <w:rsid w:val="00AF56F1"/>
    <w:rsid w:val="00B00467"/>
    <w:rsid w:val="00B0407A"/>
    <w:rsid w:val="00B128B5"/>
    <w:rsid w:val="00B1433E"/>
    <w:rsid w:val="00B247FB"/>
    <w:rsid w:val="00B262D4"/>
    <w:rsid w:val="00B27C58"/>
    <w:rsid w:val="00B37CC5"/>
    <w:rsid w:val="00B41868"/>
    <w:rsid w:val="00B50ACD"/>
    <w:rsid w:val="00B5711A"/>
    <w:rsid w:val="00B6117A"/>
    <w:rsid w:val="00B674FD"/>
    <w:rsid w:val="00B70A97"/>
    <w:rsid w:val="00B71226"/>
    <w:rsid w:val="00B75573"/>
    <w:rsid w:val="00B77A7B"/>
    <w:rsid w:val="00B8262E"/>
    <w:rsid w:val="00B84C71"/>
    <w:rsid w:val="00B860E6"/>
    <w:rsid w:val="00B87736"/>
    <w:rsid w:val="00BA1FD3"/>
    <w:rsid w:val="00BA49B9"/>
    <w:rsid w:val="00BA74F3"/>
    <w:rsid w:val="00BA7567"/>
    <w:rsid w:val="00BB39C5"/>
    <w:rsid w:val="00BB3B51"/>
    <w:rsid w:val="00BB3C03"/>
    <w:rsid w:val="00BB4406"/>
    <w:rsid w:val="00BC4376"/>
    <w:rsid w:val="00BC52C4"/>
    <w:rsid w:val="00BC7851"/>
    <w:rsid w:val="00BC7A85"/>
    <w:rsid w:val="00BD0A60"/>
    <w:rsid w:val="00BD4564"/>
    <w:rsid w:val="00BE5981"/>
    <w:rsid w:val="00BF6B40"/>
    <w:rsid w:val="00C013FE"/>
    <w:rsid w:val="00C17A34"/>
    <w:rsid w:val="00C213A0"/>
    <w:rsid w:val="00C221CF"/>
    <w:rsid w:val="00C227EF"/>
    <w:rsid w:val="00C235E3"/>
    <w:rsid w:val="00C268D3"/>
    <w:rsid w:val="00C3384F"/>
    <w:rsid w:val="00C4215E"/>
    <w:rsid w:val="00C571BB"/>
    <w:rsid w:val="00C618DF"/>
    <w:rsid w:val="00C64A9E"/>
    <w:rsid w:val="00C6564F"/>
    <w:rsid w:val="00C71ABB"/>
    <w:rsid w:val="00C91970"/>
    <w:rsid w:val="00CA1AE7"/>
    <w:rsid w:val="00CA683B"/>
    <w:rsid w:val="00CB0FEF"/>
    <w:rsid w:val="00CB3639"/>
    <w:rsid w:val="00CB4D0F"/>
    <w:rsid w:val="00CB7461"/>
    <w:rsid w:val="00CC1D0C"/>
    <w:rsid w:val="00CC6184"/>
    <w:rsid w:val="00CD4199"/>
    <w:rsid w:val="00CD7128"/>
    <w:rsid w:val="00CE142E"/>
    <w:rsid w:val="00CE49BD"/>
    <w:rsid w:val="00CE5AFB"/>
    <w:rsid w:val="00CE77DD"/>
    <w:rsid w:val="00CF04F9"/>
    <w:rsid w:val="00CF3CC3"/>
    <w:rsid w:val="00CF6983"/>
    <w:rsid w:val="00CF7647"/>
    <w:rsid w:val="00D00528"/>
    <w:rsid w:val="00D0274F"/>
    <w:rsid w:val="00D04EB6"/>
    <w:rsid w:val="00D10E66"/>
    <w:rsid w:val="00D11FBA"/>
    <w:rsid w:val="00D12DB5"/>
    <w:rsid w:val="00D13E14"/>
    <w:rsid w:val="00D20774"/>
    <w:rsid w:val="00D226BB"/>
    <w:rsid w:val="00D22BFF"/>
    <w:rsid w:val="00D33B42"/>
    <w:rsid w:val="00D33E7E"/>
    <w:rsid w:val="00D35CAE"/>
    <w:rsid w:val="00D35CBC"/>
    <w:rsid w:val="00D7348B"/>
    <w:rsid w:val="00D746DC"/>
    <w:rsid w:val="00D75538"/>
    <w:rsid w:val="00D76A72"/>
    <w:rsid w:val="00D878EA"/>
    <w:rsid w:val="00D87DA6"/>
    <w:rsid w:val="00D90081"/>
    <w:rsid w:val="00D93421"/>
    <w:rsid w:val="00D93A4E"/>
    <w:rsid w:val="00D94110"/>
    <w:rsid w:val="00D94FA8"/>
    <w:rsid w:val="00DB78B0"/>
    <w:rsid w:val="00DC1636"/>
    <w:rsid w:val="00DC2E0A"/>
    <w:rsid w:val="00DC7C56"/>
    <w:rsid w:val="00DD4C81"/>
    <w:rsid w:val="00DE5A99"/>
    <w:rsid w:val="00E0411F"/>
    <w:rsid w:val="00E07A45"/>
    <w:rsid w:val="00E11EE1"/>
    <w:rsid w:val="00E16CC3"/>
    <w:rsid w:val="00E16F2B"/>
    <w:rsid w:val="00E2001B"/>
    <w:rsid w:val="00E211F1"/>
    <w:rsid w:val="00E2262B"/>
    <w:rsid w:val="00E26835"/>
    <w:rsid w:val="00E3095A"/>
    <w:rsid w:val="00E32F69"/>
    <w:rsid w:val="00E5033C"/>
    <w:rsid w:val="00E538E9"/>
    <w:rsid w:val="00E562D4"/>
    <w:rsid w:val="00E7194F"/>
    <w:rsid w:val="00E734FE"/>
    <w:rsid w:val="00E73D32"/>
    <w:rsid w:val="00E75A32"/>
    <w:rsid w:val="00E75C9C"/>
    <w:rsid w:val="00E76D3D"/>
    <w:rsid w:val="00E8022B"/>
    <w:rsid w:val="00E92D4D"/>
    <w:rsid w:val="00E92E0E"/>
    <w:rsid w:val="00EA2F9F"/>
    <w:rsid w:val="00EB5518"/>
    <w:rsid w:val="00EB66D8"/>
    <w:rsid w:val="00EC0E4D"/>
    <w:rsid w:val="00ED1EDC"/>
    <w:rsid w:val="00ED462B"/>
    <w:rsid w:val="00ED4BBE"/>
    <w:rsid w:val="00EE0E00"/>
    <w:rsid w:val="00EE515D"/>
    <w:rsid w:val="00EE6318"/>
    <w:rsid w:val="00EF3D3B"/>
    <w:rsid w:val="00EF5060"/>
    <w:rsid w:val="00F10242"/>
    <w:rsid w:val="00F1524F"/>
    <w:rsid w:val="00F26BAB"/>
    <w:rsid w:val="00F33BAD"/>
    <w:rsid w:val="00F47F42"/>
    <w:rsid w:val="00F5065C"/>
    <w:rsid w:val="00F5184F"/>
    <w:rsid w:val="00F51DCB"/>
    <w:rsid w:val="00F542A7"/>
    <w:rsid w:val="00F651E8"/>
    <w:rsid w:val="00F65D24"/>
    <w:rsid w:val="00F66797"/>
    <w:rsid w:val="00F72E71"/>
    <w:rsid w:val="00F81DBD"/>
    <w:rsid w:val="00F97854"/>
    <w:rsid w:val="00FA69B1"/>
    <w:rsid w:val="00FB4FFA"/>
    <w:rsid w:val="00FB737B"/>
    <w:rsid w:val="00FC52B6"/>
    <w:rsid w:val="00FD0234"/>
    <w:rsid w:val="00FE3605"/>
    <w:rsid w:val="00FE4C88"/>
    <w:rsid w:val="00FF6E8A"/>
    <w:rsid w:val="00FF70BB"/>
    <w:rsid w:val="00FF761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93CD505"/>
  <w15:docId w15:val="{B5C6E61C-F351-46B3-9D8B-3EBAA1DA2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AD1FA9"/>
    <w:rPr>
      <w:rFonts w:ascii="Times New Roman" w:hAnsi="Times New Roman"/>
      <w:sz w:val="24"/>
      <w:szCs w:val="24"/>
      <w:lang w:val="en-US" w:eastAsia="en-US"/>
    </w:rPr>
  </w:style>
  <w:style w:type="paragraph" w:styleId="Titolo1">
    <w:name w:val="heading 1"/>
    <w:basedOn w:val="Normale"/>
    <w:link w:val="Titolo1Carattere"/>
    <w:qFormat/>
    <w:rsid w:val="00AC73E9"/>
    <w:pPr>
      <w:spacing w:before="100" w:beforeAutospacing="1" w:after="100" w:afterAutospacing="1" w:line="264" w:lineRule="atLeast"/>
      <w:outlineLvl w:val="0"/>
    </w:pPr>
    <w:rPr>
      <w:b/>
      <w:bCs/>
      <w:kern w:val="36"/>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D1FA9"/>
    <w:rPr>
      <w:color w:val="0000FF"/>
      <w:u w:val="single"/>
    </w:rPr>
  </w:style>
  <w:style w:type="paragraph" w:styleId="Testonormale">
    <w:name w:val="Plain Text"/>
    <w:basedOn w:val="Normale"/>
    <w:link w:val="TestonormaleCarattere"/>
    <w:rsid w:val="00AD1FA9"/>
    <w:rPr>
      <w:rFonts w:ascii="Courier New" w:hAnsi="Courier New"/>
      <w:sz w:val="20"/>
      <w:szCs w:val="20"/>
    </w:rPr>
  </w:style>
  <w:style w:type="character" w:customStyle="1" w:styleId="TestonormaleCarattere">
    <w:name w:val="Testo normale Carattere"/>
    <w:link w:val="Testonormale"/>
    <w:locked/>
    <w:rsid w:val="00AD1FA9"/>
    <w:rPr>
      <w:rFonts w:ascii="Courier New" w:hAnsi="Courier New" w:cs="Times New Roman"/>
      <w:sz w:val="20"/>
      <w:szCs w:val="20"/>
    </w:rPr>
  </w:style>
  <w:style w:type="character" w:styleId="Rimandocommento">
    <w:name w:val="annotation reference"/>
    <w:uiPriority w:val="99"/>
    <w:semiHidden/>
    <w:rsid w:val="00AD1FA9"/>
    <w:rPr>
      <w:sz w:val="16"/>
    </w:rPr>
  </w:style>
  <w:style w:type="paragraph" w:styleId="Testocommento">
    <w:name w:val="annotation text"/>
    <w:basedOn w:val="Normale"/>
    <w:link w:val="TestocommentoCarattere"/>
    <w:uiPriority w:val="99"/>
    <w:semiHidden/>
    <w:rsid w:val="00AD1FA9"/>
    <w:rPr>
      <w:sz w:val="20"/>
      <w:szCs w:val="20"/>
    </w:rPr>
  </w:style>
  <w:style w:type="character" w:customStyle="1" w:styleId="TestocommentoCarattere">
    <w:name w:val="Testo commento Carattere"/>
    <w:link w:val="Testocommento"/>
    <w:uiPriority w:val="99"/>
    <w:semiHidden/>
    <w:locked/>
    <w:rsid w:val="00AD1FA9"/>
    <w:rPr>
      <w:rFonts w:ascii="Times New Roman" w:hAnsi="Times New Roman" w:cs="Times New Roman"/>
      <w:sz w:val="20"/>
      <w:szCs w:val="20"/>
    </w:rPr>
  </w:style>
  <w:style w:type="paragraph" w:styleId="Testofumetto">
    <w:name w:val="Balloon Text"/>
    <w:basedOn w:val="Normale"/>
    <w:link w:val="TestofumettoCarattere"/>
    <w:semiHidden/>
    <w:rsid w:val="00AD1FA9"/>
    <w:rPr>
      <w:rFonts w:ascii="Tahoma" w:hAnsi="Tahoma" w:cs="Tahoma"/>
      <w:sz w:val="16"/>
      <w:szCs w:val="16"/>
    </w:rPr>
  </w:style>
  <w:style w:type="character" w:customStyle="1" w:styleId="TestofumettoCarattere">
    <w:name w:val="Testo fumetto Carattere"/>
    <w:link w:val="Testofumetto"/>
    <w:semiHidden/>
    <w:locked/>
    <w:rsid w:val="00AD1FA9"/>
    <w:rPr>
      <w:rFonts w:ascii="Tahoma" w:hAnsi="Tahoma" w:cs="Tahoma"/>
      <w:sz w:val="16"/>
      <w:szCs w:val="16"/>
    </w:rPr>
  </w:style>
  <w:style w:type="character" w:styleId="Numeroriga">
    <w:name w:val="line number"/>
    <w:semiHidden/>
    <w:rsid w:val="00ED4BBE"/>
    <w:rPr>
      <w:rFonts w:cs="Times New Roman"/>
    </w:rPr>
  </w:style>
  <w:style w:type="paragraph" w:customStyle="1" w:styleId="MediumGrid1-Accent21">
    <w:name w:val="Medium Grid 1 - Accent 21"/>
    <w:basedOn w:val="Normale"/>
    <w:qFormat/>
    <w:rsid w:val="001701FF"/>
    <w:pPr>
      <w:ind w:left="720"/>
      <w:contextualSpacing/>
    </w:pPr>
    <w:rPr>
      <w:rFonts w:ascii="Calibri" w:eastAsia="MS Mincho" w:hAnsi="Calibri"/>
    </w:rPr>
  </w:style>
  <w:style w:type="character" w:customStyle="1" w:styleId="Titolo1Carattere">
    <w:name w:val="Titolo 1 Carattere"/>
    <w:link w:val="Titolo1"/>
    <w:locked/>
    <w:rsid w:val="00AC73E9"/>
    <w:rPr>
      <w:rFonts w:ascii="Times New Roman" w:hAnsi="Times New Roman" w:cs="Times New Roman"/>
      <w:b/>
      <w:bCs/>
      <w:kern w:val="36"/>
      <w:sz w:val="36"/>
      <w:szCs w:val="36"/>
    </w:rPr>
  </w:style>
  <w:style w:type="paragraph" w:customStyle="1" w:styleId="title1">
    <w:name w:val="title1"/>
    <w:basedOn w:val="Normale"/>
    <w:rsid w:val="00AC73E9"/>
    <w:rPr>
      <w:sz w:val="29"/>
      <w:szCs w:val="29"/>
    </w:rPr>
  </w:style>
  <w:style w:type="paragraph" w:customStyle="1" w:styleId="desc1">
    <w:name w:val="desc1"/>
    <w:basedOn w:val="Normale"/>
    <w:rsid w:val="00AC73E9"/>
    <w:pPr>
      <w:spacing w:before="100" w:beforeAutospacing="1" w:after="100" w:afterAutospacing="1"/>
    </w:pPr>
    <w:rPr>
      <w:sz w:val="28"/>
      <w:szCs w:val="28"/>
    </w:rPr>
  </w:style>
  <w:style w:type="paragraph" w:customStyle="1" w:styleId="details1">
    <w:name w:val="details1"/>
    <w:basedOn w:val="Normale"/>
    <w:rsid w:val="00AC73E9"/>
    <w:pPr>
      <w:spacing w:before="100" w:beforeAutospacing="1" w:after="100" w:afterAutospacing="1"/>
    </w:pPr>
  </w:style>
  <w:style w:type="character" w:customStyle="1" w:styleId="jrnl">
    <w:name w:val="jrnl"/>
    <w:rsid w:val="00AC73E9"/>
    <w:rPr>
      <w:rFonts w:cs="Times New Roman"/>
    </w:rPr>
  </w:style>
  <w:style w:type="table" w:styleId="Grigliatabella">
    <w:name w:val="Table Grid"/>
    <w:basedOn w:val="Tabellanormale"/>
    <w:uiPriority w:val="39"/>
    <w:rsid w:val="00712D7D"/>
    <w:rPr>
      <w:rFonts w:eastAsia="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semiHidden/>
    <w:rsid w:val="00215048"/>
    <w:rPr>
      <w:rFonts w:cs="Times New Roman"/>
      <w:color w:val="800080"/>
      <w:u w:val="single"/>
    </w:rPr>
  </w:style>
  <w:style w:type="paragraph" w:styleId="Soggettocommento">
    <w:name w:val="annotation subject"/>
    <w:basedOn w:val="Testocommento"/>
    <w:next w:val="Testocommento"/>
    <w:link w:val="SoggettocommentoCarattere"/>
    <w:semiHidden/>
    <w:rsid w:val="00543445"/>
    <w:rPr>
      <w:b/>
      <w:bCs/>
    </w:rPr>
  </w:style>
  <w:style w:type="character" w:customStyle="1" w:styleId="SoggettocommentoCarattere">
    <w:name w:val="Soggetto commento Carattere"/>
    <w:link w:val="Soggettocommento"/>
    <w:semiHidden/>
    <w:locked/>
    <w:rsid w:val="00543445"/>
    <w:rPr>
      <w:rFonts w:ascii="Times New Roman" w:hAnsi="Times New Roman" w:cs="Times New Roman"/>
      <w:b/>
      <w:bCs/>
      <w:sz w:val="20"/>
      <w:szCs w:val="20"/>
    </w:rPr>
  </w:style>
  <w:style w:type="paragraph" w:styleId="Testonotaapidipagina">
    <w:name w:val="footnote text"/>
    <w:basedOn w:val="Normale"/>
    <w:semiHidden/>
    <w:rsid w:val="007704A1"/>
    <w:rPr>
      <w:sz w:val="20"/>
      <w:szCs w:val="20"/>
    </w:rPr>
  </w:style>
  <w:style w:type="character" w:styleId="Rimandonotaapidipagina">
    <w:name w:val="footnote reference"/>
    <w:semiHidden/>
    <w:rsid w:val="007704A1"/>
    <w:rPr>
      <w:vertAlign w:val="superscript"/>
    </w:rPr>
  </w:style>
  <w:style w:type="paragraph" w:styleId="Pidipagina">
    <w:name w:val="footer"/>
    <w:basedOn w:val="Normale"/>
    <w:link w:val="PidipaginaCarattere"/>
    <w:rsid w:val="002532E2"/>
    <w:pPr>
      <w:tabs>
        <w:tab w:val="center" w:pos="4320"/>
        <w:tab w:val="right" w:pos="8640"/>
      </w:tabs>
    </w:pPr>
  </w:style>
  <w:style w:type="character" w:customStyle="1" w:styleId="PidipaginaCarattere">
    <w:name w:val="Piè di pagina Carattere"/>
    <w:link w:val="Pidipagina"/>
    <w:rsid w:val="002532E2"/>
    <w:rPr>
      <w:rFonts w:ascii="Times New Roman" w:hAnsi="Times New Roman"/>
      <w:sz w:val="24"/>
      <w:szCs w:val="24"/>
    </w:rPr>
  </w:style>
  <w:style w:type="character" w:styleId="Numeropagina">
    <w:name w:val="page number"/>
    <w:rsid w:val="002532E2"/>
  </w:style>
  <w:style w:type="paragraph" w:styleId="Intestazione">
    <w:name w:val="header"/>
    <w:basedOn w:val="Normale"/>
    <w:link w:val="IntestazioneCarattere"/>
    <w:unhideWhenUsed/>
    <w:rsid w:val="00C64A9E"/>
    <w:pPr>
      <w:tabs>
        <w:tab w:val="center" w:pos="4819"/>
        <w:tab w:val="right" w:pos="9638"/>
      </w:tabs>
    </w:pPr>
  </w:style>
  <w:style w:type="character" w:customStyle="1" w:styleId="IntestazioneCarattere">
    <w:name w:val="Intestazione Carattere"/>
    <w:basedOn w:val="Carpredefinitoparagrafo"/>
    <w:link w:val="Intestazione"/>
    <w:rsid w:val="00C64A9E"/>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95">
              <w:marLeft w:val="0"/>
              <w:marRight w:val="0"/>
              <w:marTop w:val="0"/>
              <w:marBottom w:val="0"/>
              <w:divBdr>
                <w:top w:val="none" w:sz="0" w:space="0" w:color="auto"/>
                <w:left w:val="none" w:sz="0" w:space="0" w:color="auto"/>
                <w:bottom w:val="none" w:sz="0" w:space="0" w:color="auto"/>
                <w:right w:val="none" w:sz="0" w:space="0" w:color="auto"/>
              </w:divBdr>
              <w:divsChild>
                <w:div w:id="92">
                  <w:marLeft w:val="0"/>
                  <w:marRight w:val="-6084"/>
                  <w:marTop w:val="0"/>
                  <w:marBottom w:val="0"/>
                  <w:divBdr>
                    <w:top w:val="none" w:sz="0" w:space="0" w:color="auto"/>
                    <w:left w:val="none" w:sz="0" w:space="0" w:color="auto"/>
                    <w:bottom w:val="none" w:sz="0" w:space="0" w:color="auto"/>
                    <w:right w:val="none" w:sz="0" w:space="0" w:color="auto"/>
                  </w:divBdr>
                  <w:divsChild>
                    <w:div w:id="99">
                      <w:marLeft w:val="0"/>
                      <w:marRight w:val="5604"/>
                      <w:marTop w:val="0"/>
                      <w:marBottom w:val="0"/>
                      <w:divBdr>
                        <w:top w:val="none" w:sz="0" w:space="0" w:color="auto"/>
                        <w:left w:val="none" w:sz="0" w:space="0" w:color="auto"/>
                        <w:bottom w:val="none" w:sz="0" w:space="0" w:color="auto"/>
                        <w:right w:val="none" w:sz="0" w:space="0" w:color="auto"/>
                      </w:divBdr>
                      <w:divsChild>
                        <w:div w:id="48">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120"/>
                              <w:marBottom w:val="36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2">
                  <w:marLeft w:val="0"/>
                  <w:marRight w:val="-6084"/>
                  <w:marTop w:val="0"/>
                  <w:marBottom w:val="0"/>
                  <w:divBdr>
                    <w:top w:val="none" w:sz="0" w:space="0" w:color="auto"/>
                    <w:left w:val="none" w:sz="0" w:space="0" w:color="auto"/>
                    <w:bottom w:val="none" w:sz="0" w:space="0" w:color="auto"/>
                    <w:right w:val="none" w:sz="0" w:space="0" w:color="auto"/>
                  </w:divBdr>
                  <w:divsChild>
                    <w:div w:id="104">
                      <w:marLeft w:val="0"/>
                      <w:marRight w:val="5604"/>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120"/>
                              <w:marBottom w:val="360"/>
                              <w:divBdr>
                                <w:top w:val="none" w:sz="0" w:space="0" w:color="auto"/>
                                <w:left w:val="none" w:sz="0" w:space="0" w:color="auto"/>
                                <w:bottom w:val="none" w:sz="0" w:space="0" w:color="auto"/>
                                <w:right w:val="none" w:sz="0" w:space="0" w:color="auto"/>
                              </w:divBdr>
                              <w:divsChild>
                                <w:div w:id="113">
                                  <w:marLeft w:val="42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6084"/>
                  <w:marTop w:val="0"/>
                  <w:marBottom w:val="0"/>
                  <w:divBdr>
                    <w:top w:val="none" w:sz="0" w:space="0" w:color="auto"/>
                    <w:left w:val="none" w:sz="0" w:space="0" w:color="auto"/>
                    <w:bottom w:val="none" w:sz="0" w:space="0" w:color="auto"/>
                    <w:right w:val="none" w:sz="0" w:space="0" w:color="auto"/>
                  </w:divBdr>
                  <w:divsChild>
                    <w:div w:id="88">
                      <w:marLeft w:val="0"/>
                      <w:marRight w:val="5604"/>
                      <w:marTop w:val="0"/>
                      <w:marBottom w:val="0"/>
                      <w:divBdr>
                        <w:top w:val="none" w:sz="0" w:space="0" w:color="auto"/>
                        <w:left w:val="none" w:sz="0" w:space="0" w:color="auto"/>
                        <w:bottom w:val="none" w:sz="0" w:space="0" w:color="auto"/>
                        <w:right w:val="none" w:sz="0" w:space="0" w:color="auto"/>
                      </w:divBdr>
                      <w:divsChild>
                        <w:div w:id="73">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120"/>
                              <w:marBottom w:val="36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
                                <w:div w:id="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
      <w:marLeft w:val="0"/>
      <w:marRight w:val="0"/>
      <w:marTop w:val="0"/>
      <w:marBottom w:val="0"/>
      <w:divBdr>
        <w:top w:val="none" w:sz="0" w:space="0" w:color="auto"/>
        <w:left w:val="none" w:sz="0" w:space="0" w:color="auto"/>
        <w:bottom w:val="none" w:sz="0" w:space="0" w:color="auto"/>
        <w:right w:val="none" w:sz="0" w:space="0" w:color="auto"/>
      </w:divBdr>
      <w:divsChild>
        <w:div w:id="128">
          <w:marLeft w:val="0"/>
          <w:marRight w:val="0"/>
          <w:marTop w:val="0"/>
          <w:marBottom w:val="0"/>
          <w:divBdr>
            <w:top w:val="none" w:sz="0" w:space="0" w:color="auto"/>
            <w:left w:val="none" w:sz="0" w:space="0" w:color="auto"/>
            <w:bottom w:val="none" w:sz="0" w:space="0" w:color="auto"/>
            <w:right w:val="none" w:sz="0" w:space="0" w:color="auto"/>
          </w:divBdr>
          <w:divsChild>
            <w:div w:id="109">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6084"/>
                  <w:marTop w:val="0"/>
                  <w:marBottom w:val="0"/>
                  <w:divBdr>
                    <w:top w:val="none" w:sz="0" w:space="0" w:color="auto"/>
                    <w:left w:val="none" w:sz="0" w:space="0" w:color="auto"/>
                    <w:bottom w:val="none" w:sz="0" w:space="0" w:color="auto"/>
                    <w:right w:val="none" w:sz="0" w:space="0" w:color="auto"/>
                  </w:divBdr>
                  <w:divsChild>
                    <w:div w:id="130">
                      <w:marLeft w:val="0"/>
                      <w:marRight w:val="5604"/>
                      <w:marTop w:val="0"/>
                      <w:marBottom w:val="0"/>
                      <w:divBdr>
                        <w:top w:val="none" w:sz="0" w:space="0" w:color="auto"/>
                        <w:left w:val="none" w:sz="0" w:space="0" w:color="auto"/>
                        <w:bottom w:val="none" w:sz="0" w:space="0" w:color="auto"/>
                        <w:right w:val="none" w:sz="0" w:space="0" w:color="auto"/>
                      </w:divBdr>
                      <w:divsChild>
                        <w:div w:id="129">
                          <w:marLeft w:val="0"/>
                          <w:marRight w:val="0"/>
                          <w:marTop w:val="0"/>
                          <w:marBottom w:val="0"/>
                          <w:divBdr>
                            <w:top w:val="none" w:sz="0" w:space="0" w:color="auto"/>
                            <w:left w:val="none" w:sz="0" w:space="0" w:color="auto"/>
                            <w:bottom w:val="none" w:sz="0" w:space="0" w:color="auto"/>
                            <w:right w:val="none" w:sz="0" w:space="0" w:color="auto"/>
                          </w:divBdr>
                          <w:divsChild>
                            <w:div w:id="118">
                              <w:marLeft w:val="0"/>
                              <w:marRight w:val="0"/>
                              <w:marTop w:val="120"/>
                              <w:marBottom w:val="360"/>
                              <w:divBdr>
                                <w:top w:val="none" w:sz="0" w:space="0" w:color="auto"/>
                                <w:left w:val="none" w:sz="0" w:space="0" w:color="auto"/>
                                <w:bottom w:val="none" w:sz="0" w:space="0" w:color="auto"/>
                                <w:right w:val="none" w:sz="0" w:space="0" w:color="auto"/>
                              </w:divBdr>
                              <w:divsChild>
                                <w:div w:id="34">
                                  <w:marLeft w:val="42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6084"/>
                  <w:marTop w:val="0"/>
                  <w:marBottom w:val="0"/>
                  <w:divBdr>
                    <w:top w:val="none" w:sz="0" w:space="0" w:color="auto"/>
                    <w:left w:val="none" w:sz="0" w:space="0" w:color="auto"/>
                    <w:bottom w:val="none" w:sz="0" w:space="0" w:color="auto"/>
                    <w:right w:val="none" w:sz="0" w:space="0" w:color="auto"/>
                  </w:divBdr>
                  <w:divsChild>
                    <w:div w:id="38">
                      <w:marLeft w:val="0"/>
                      <w:marRight w:val="5604"/>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65">
                              <w:marLeft w:val="0"/>
                              <w:marRight w:val="0"/>
                              <w:marTop w:val="120"/>
                              <w:marBottom w:val="36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
                                <w:div w:id="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sChild>
        <w:div w:id="52">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37">
                  <w:marLeft w:val="0"/>
                  <w:marRight w:val="-6084"/>
                  <w:marTop w:val="0"/>
                  <w:marBottom w:val="0"/>
                  <w:divBdr>
                    <w:top w:val="none" w:sz="0" w:space="0" w:color="auto"/>
                    <w:left w:val="none" w:sz="0" w:space="0" w:color="auto"/>
                    <w:bottom w:val="none" w:sz="0" w:space="0" w:color="auto"/>
                    <w:right w:val="none" w:sz="0" w:space="0" w:color="auto"/>
                  </w:divBdr>
                  <w:divsChild>
                    <w:div w:id="6">
                      <w:marLeft w:val="0"/>
                      <w:marRight w:val="5604"/>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64">
                              <w:marLeft w:val="0"/>
                              <w:marRight w:val="0"/>
                              <w:marTop w:val="120"/>
                              <w:marBottom w:val="36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
      <w:marLeft w:val="0"/>
      <w:marRight w:val="0"/>
      <w:marTop w:val="0"/>
      <w:marBottom w:val="0"/>
      <w:divBdr>
        <w:top w:val="none" w:sz="0" w:space="0" w:color="auto"/>
        <w:left w:val="none" w:sz="0" w:space="0" w:color="auto"/>
        <w:bottom w:val="none" w:sz="0" w:space="0" w:color="auto"/>
        <w:right w:val="none" w:sz="0" w:space="0" w:color="auto"/>
      </w:divBdr>
      <w:divsChild>
        <w:div w:id="8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6084"/>
                  <w:marTop w:val="0"/>
                  <w:marBottom w:val="0"/>
                  <w:divBdr>
                    <w:top w:val="none" w:sz="0" w:space="0" w:color="auto"/>
                    <w:left w:val="none" w:sz="0" w:space="0" w:color="auto"/>
                    <w:bottom w:val="none" w:sz="0" w:space="0" w:color="auto"/>
                    <w:right w:val="none" w:sz="0" w:space="0" w:color="auto"/>
                  </w:divBdr>
                  <w:divsChild>
                    <w:div w:id="9">
                      <w:marLeft w:val="0"/>
                      <w:marRight w:val="5604"/>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120"/>
                              <w:marBottom w:val="36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sChild>
            <w:div w:id="57">
              <w:marLeft w:val="0"/>
              <w:marRight w:val="0"/>
              <w:marTop w:val="0"/>
              <w:marBottom w:val="0"/>
              <w:divBdr>
                <w:top w:val="none" w:sz="0" w:space="0" w:color="auto"/>
                <w:left w:val="none" w:sz="0" w:space="0" w:color="auto"/>
                <w:bottom w:val="none" w:sz="0" w:space="0" w:color="auto"/>
                <w:right w:val="none" w:sz="0" w:space="0" w:color="auto"/>
              </w:divBdr>
              <w:divsChild>
                <w:div w:id="123">
                  <w:marLeft w:val="0"/>
                  <w:marRight w:val="-6084"/>
                  <w:marTop w:val="0"/>
                  <w:marBottom w:val="0"/>
                  <w:divBdr>
                    <w:top w:val="none" w:sz="0" w:space="0" w:color="auto"/>
                    <w:left w:val="none" w:sz="0" w:space="0" w:color="auto"/>
                    <w:bottom w:val="none" w:sz="0" w:space="0" w:color="auto"/>
                    <w:right w:val="none" w:sz="0" w:space="0" w:color="auto"/>
                  </w:divBdr>
                  <w:divsChild>
                    <w:div w:id="14">
                      <w:marLeft w:val="0"/>
                      <w:marRight w:val="5604"/>
                      <w:marTop w:val="0"/>
                      <w:marBottom w:val="0"/>
                      <w:divBdr>
                        <w:top w:val="none" w:sz="0" w:space="0" w:color="auto"/>
                        <w:left w:val="none" w:sz="0" w:space="0" w:color="auto"/>
                        <w:bottom w:val="none" w:sz="0" w:space="0" w:color="auto"/>
                        <w:right w:val="none" w:sz="0" w:space="0" w:color="auto"/>
                      </w:divBdr>
                      <w:divsChild>
                        <w:div w:id="124">
                          <w:marLeft w:val="0"/>
                          <w:marRight w:val="0"/>
                          <w:marTop w:val="0"/>
                          <w:marBottom w:val="0"/>
                          <w:divBdr>
                            <w:top w:val="none" w:sz="0" w:space="0" w:color="auto"/>
                            <w:left w:val="none" w:sz="0" w:space="0" w:color="auto"/>
                            <w:bottom w:val="none" w:sz="0" w:space="0" w:color="auto"/>
                            <w:right w:val="none" w:sz="0" w:space="0" w:color="auto"/>
                          </w:divBdr>
                          <w:divsChild>
                            <w:div w:id="91">
                              <w:marLeft w:val="0"/>
                              <w:marRight w:val="0"/>
                              <w:marTop w:val="120"/>
                              <w:marBottom w:val="36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sChild>
                <w:div w:id="90">
                  <w:marLeft w:val="0"/>
                  <w:marRight w:val="-6084"/>
                  <w:marTop w:val="0"/>
                  <w:marBottom w:val="0"/>
                  <w:divBdr>
                    <w:top w:val="none" w:sz="0" w:space="0" w:color="auto"/>
                    <w:left w:val="none" w:sz="0" w:space="0" w:color="auto"/>
                    <w:bottom w:val="none" w:sz="0" w:space="0" w:color="auto"/>
                    <w:right w:val="none" w:sz="0" w:space="0" w:color="auto"/>
                  </w:divBdr>
                  <w:divsChild>
                    <w:div w:id="68">
                      <w:marLeft w:val="0"/>
                      <w:marRight w:val="5604"/>
                      <w:marTop w:val="0"/>
                      <w:marBottom w:val="0"/>
                      <w:divBdr>
                        <w:top w:val="none" w:sz="0" w:space="0" w:color="auto"/>
                        <w:left w:val="none" w:sz="0" w:space="0" w:color="auto"/>
                        <w:bottom w:val="none" w:sz="0" w:space="0" w:color="auto"/>
                        <w:right w:val="none" w:sz="0" w:space="0" w:color="auto"/>
                      </w:divBdr>
                      <w:divsChild>
                        <w:div w:id="138">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120"/>
                              <w:marBottom w:val="36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
      <w:marLeft w:val="0"/>
      <w:marRight w:val="0"/>
      <w:marTop w:val="0"/>
      <w:marBottom w:val="0"/>
      <w:divBdr>
        <w:top w:val="none" w:sz="0" w:space="0" w:color="auto"/>
        <w:left w:val="none" w:sz="0" w:space="0" w:color="auto"/>
        <w:bottom w:val="none" w:sz="0" w:space="0" w:color="auto"/>
        <w:right w:val="none" w:sz="0" w:space="0" w:color="auto"/>
      </w:divBdr>
      <w:divsChild>
        <w:div w:id="82">
          <w:marLeft w:val="0"/>
          <w:marRight w:val="0"/>
          <w:marTop w:val="0"/>
          <w:marBottom w:val="0"/>
          <w:divBdr>
            <w:top w:val="none" w:sz="0" w:space="0" w:color="auto"/>
            <w:left w:val="none" w:sz="0" w:space="0" w:color="auto"/>
            <w:bottom w:val="none" w:sz="0" w:space="0" w:color="auto"/>
            <w:right w:val="none" w:sz="0" w:space="0" w:color="auto"/>
          </w:divBdr>
          <w:divsChild>
            <w:div w:id="106">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6084"/>
                  <w:marTop w:val="0"/>
                  <w:marBottom w:val="0"/>
                  <w:divBdr>
                    <w:top w:val="none" w:sz="0" w:space="0" w:color="auto"/>
                    <w:left w:val="none" w:sz="0" w:space="0" w:color="auto"/>
                    <w:bottom w:val="none" w:sz="0" w:space="0" w:color="auto"/>
                    <w:right w:val="none" w:sz="0" w:space="0" w:color="auto"/>
                  </w:divBdr>
                  <w:divsChild>
                    <w:div w:id="116">
                      <w:marLeft w:val="0"/>
                      <w:marRight w:val="5604"/>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sChild>
                            <w:div w:id="103">
                              <w:marLeft w:val="0"/>
                              <w:marRight w:val="0"/>
                              <w:marTop w:val="120"/>
                              <w:marBottom w:val="360"/>
                              <w:divBdr>
                                <w:top w:val="none" w:sz="0" w:space="0" w:color="auto"/>
                                <w:left w:val="none" w:sz="0" w:space="0" w:color="auto"/>
                                <w:bottom w:val="none" w:sz="0" w:space="0" w:color="auto"/>
                                <w:right w:val="none" w:sz="0" w:space="0" w:color="auto"/>
                              </w:divBdr>
                              <w:divsChild>
                                <w:div w:id="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75">
          <w:marLeft w:val="0"/>
          <w:marRight w:val="0"/>
          <w:marTop w:val="0"/>
          <w:marBottom w:val="0"/>
          <w:divBdr>
            <w:top w:val="none" w:sz="0" w:space="0" w:color="auto"/>
            <w:left w:val="none" w:sz="0" w:space="0" w:color="auto"/>
            <w:bottom w:val="none" w:sz="0" w:space="0" w:color="auto"/>
            <w:right w:val="none" w:sz="0" w:space="0" w:color="auto"/>
          </w:divBdr>
          <w:divsChild>
            <w:div w:id="132">
              <w:marLeft w:val="0"/>
              <w:marRight w:val="0"/>
              <w:marTop w:val="0"/>
              <w:marBottom w:val="0"/>
              <w:divBdr>
                <w:top w:val="none" w:sz="0" w:space="0" w:color="auto"/>
                <w:left w:val="none" w:sz="0" w:space="0" w:color="auto"/>
                <w:bottom w:val="none" w:sz="0" w:space="0" w:color="auto"/>
                <w:right w:val="none" w:sz="0" w:space="0" w:color="auto"/>
              </w:divBdr>
              <w:divsChild>
                <w:div w:id="40">
                  <w:marLeft w:val="0"/>
                  <w:marRight w:val="-6084"/>
                  <w:marTop w:val="0"/>
                  <w:marBottom w:val="0"/>
                  <w:divBdr>
                    <w:top w:val="none" w:sz="0" w:space="0" w:color="auto"/>
                    <w:left w:val="none" w:sz="0" w:space="0" w:color="auto"/>
                    <w:bottom w:val="none" w:sz="0" w:space="0" w:color="auto"/>
                    <w:right w:val="none" w:sz="0" w:space="0" w:color="auto"/>
                  </w:divBdr>
                  <w:divsChild>
                    <w:div w:id="51">
                      <w:marLeft w:val="0"/>
                      <w:marRight w:val="5604"/>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120">
                              <w:marLeft w:val="0"/>
                              <w:marRight w:val="0"/>
                              <w:marTop w:val="120"/>
                              <w:marBottom w:val="36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sChild>
        <w:div w:id="135">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6084"/>
                  <w:marTop w:val="0"/>
                  <w:marBottom w:val="0"/>
                  <w:divBdr>
                    <w:top w:val="none" w:sz="0" w:space="0" w:color="auto"/>
                    <w:left w:val="none" w:sz="0" w:space="0" w:color="auto"/>
                    <w:bottom w:val="none" w:sz="0" w:space="0" w:color="auto"/>
                    <w:right w:val="none" w:sz="0" w:space="0" w:color="auto"/>
                  </w:divBdr>
                  <w:divsChild>
                    <w:div w:id="80">
                      <w:marLeft w:val="0"/>
                      <w:marRight w:val="5604"/>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85">
                              <w:marLeft w:val="0"/>
                              <w:marRight w:val="0"/>
                              <w:marTop w:val="120"/>
                              <w:marBottom w:val="360"/>
                              <w:divBdr>
                                <w:top w:val="none" w:sz="0" w:space="0" w:color="auto"/>
                                <w:left w:val="none" w:sz="0" w:space="0" w:color="auto"/>
                                <w:bottom w:val="none" w:sz="0" w:space="0" w:color="auto"/>
                                <w:right w:val="none" w:sz="0" w:space="0" w:color="auto"/>
                              </w:divBdr>
                              <w:divsChild>
                                <w:div w:id="44">
                                  <w:marLeft w:val="0"/>
                                  <w:marRight w:val="0"/>
                                  <w:marTop w:val="0"/>
                                  <w:marBottom w:val="0"/>
                                  <w:divBdr>
                                    <w:top w:val="none" w:sz="0" w:space="0" w:color="auto"/>
                                    <w:left w:val="none" w:sz="0" w:space="0" w:color="auto"/>
                                    <w:bottom w:val="none" w:sz="0" w:space="0" w:color="auto"/>
                                    <w:right w:val="none" w:sz="0" w:space="0" w:color="auto"/>
                                  </w:divBdr>
                                </w:div>
                                <w:div w:id="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sChild>
            <w:div w:id="121">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6084"/>
                  <w:marTop w:val="0"/>
                  <w:marBottom w:val="0"/>
                  <w:divBdr>
                    <w:top w:val="none" w:sz="0" w:space="0" w:color="auto"/>
                    <w:left w:val="none" w:sz="0" w:space="0" w:color="auto"/>
                    <w:bottom w:val="none" w:sz="0" w:space="0" w:color="auto"/>
                    <w:right w:val="none" w:sz="0" w:space="0" w:color="auto"/>
                  </w:divBdr>
                  <w:divsChild>
                    <w:div w:id="30">
                      <w:marLeft w:val="0"/>
                      <w:marRight w:val="5604"/>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
      <w:marLeft w:val="0"/>
      <w:marRight w:val="0"/>
      <w:marTop w:val="0"/>
      <w:marBottom w:val="0"/>
      <w:divBdr>
        <w:top w:val="none" w:sz="0" w:space="0" w:color="auto"/>
        <w:left w:val="none" w:sz="0" w:space="0" w:color="auto"/>
        <w:bottom w:val="none" w:sz="0" w:space="0" w:color="auto"/>
        <w:right w:val="none" w:sz="0" w:space="0" w:color="auto"/>
      </w:divBdr>
    </w:div>
    <w:div w:id="114">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125">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6084"/>
                  <w:marTop w:val="0"/>
                  <w:marBottom w:val="0"/>
                  <w:divBdr>
                    <w:top w:val="none" w:sz="0" w:space="0" w:color="auto"/>
                    <w:left w:val="none" w:sz="0" w:space="0" w:color="auto"/>
                    <w:bottom w:val="none" w:sz="0" w:space="0" w:color="auto"/>
                    <w:right w:val="none" w:sz="0" w:space="0" w:color="auto"/>
                  </w:divBdr>
                  <w:divsChild>
                    <w:div w:id="25">
                      <w:marLeft w:val="0"/>
                      <w:marRight w:val="5604"/>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136">
                              <w:marLeft w:val="0"/>
                              <w:marRight w:val="0"/>
                              <w:marTop w:val="120"/>
                              <w:marBottom w:val="360"/>
                              <w:divBdr>
                                <w:top w:val="none" w:sz="0" w:space="0" w:color="auto"/>
                                <w:left w:val="none" w:sz="0" w:space="0" w:color="auto"/>
                                <w:bottom w:val="none" w:sz="0" w:space="0" w:color="auto"/>
                                <w:right w:val="none" w:sz="0" w:space="0" w:color="auto"/>
                              </w:divBdr>
                              <w:divsChild>
                                <w:div w:id="37">
                                  <w:marLeft w:val="0"/>
                                  <w:marRight w:val="0"/>
                                  <w:marTop w:val="0"/>
                                  <w:marBottom w:val="0"/>
                                  <w:divBdr>
                                    <w:top w:val="none" w:sz="0" w:space="0" w:color="auto"/>
                                    <w:left w:val="none" w:sz="0" w:space="0" w:color="auto"/>
                                    <w:bottom w:val="none" w:sz="0" w:space="0" w:color="auto"/>
                                    <w:right w:val="none" w:sz="0" w:space="0" w:color="auto"/>
                                  </w:divBdr>
                                </w:div>
                                <w:div w:id="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
      <w:marLeft w:val="0"/>
      <w:marRight w:val="0"/>
      <w:marTop w:val="0"/>
      <w:marBottom w:val="0"/>
      <w:divBdr>
        <w:top w:val="none" w:sz="0" w:space="0" w:color="auto"/>
        <w:left w:val="none" w:sz="0" w:space="0" w:color="auto"/>
        <w:bottom w:val="none" w:sz="0" w:space="0" w:color="auto"/>
        <w:right w:val="none" w:sz="0" w:space="0" w:color="auto"/>
      </w:divBdr>
      <w:divsChild>
        <w:div w:id="107">
          <w:marLeft w:val="0"/>
          <w:marRight w:val="0"/>
          <w:marTop w:val="0"/>
          <w:marBottom w:val="0"/>
          <w:divBdr>
            <w:top w:val="none" w:sz="0" w:space="0" w:color="auto"/>
            <w:left w:val="none" w:sz="0" w:space="0" w:color="auto"/>
            <w:bottom w:val="none" w:sz="0" w:space="0" w:color="auto"/>
            <w:right w:val="none" w:sz="0" w:space="0" w:color="auto"/>
          </w:divBdr>
          <w:divsChild>
            <w:div w:id="100">
              <w:marLeft w:val="0"/>
              <w:marRight w:val="0"/>
              <w:marTop w:val="0"/>
              <w:marBottom w:val="0"/>
              <w:divBdr>
                <w:top w:val="none" w:sz="0" w:space="0" w:color="auto"/>
                <w:left w:val="none" w:sz="0" w:space="0" w:color="auto"/>
                <w:bottom w:val="none" w:sz="0" w:space="0" w:color="auto"/>
                <w:right w:val="none" w:sz="0" w:space="0" w:color="auto"/>
              </w:divBdr>
              <w:divsChild>
                <w:div w:id="58">
                  <w:marLeft w:val="0"/>
                  <w:marRight w:val="-6084"/>
                  <w:marTop w:val="0"/>
                  <w:marBottom w:val="0"/>
                  <w:divBdr>
                    <w:top w:val="none" w:sz="0" w:space="0" w:color="auto"/>
                    <w:left w:val="none" w:sz="0" w:space="0" w:color="auto"/>
                    <w:bottom w:val="none" w:sz="0" w:space="0" w:color="auto"/>
                    <w:right w:val="none" w:sz="0" w:space="0" w:color="auto"/>
                  </w:divBdr>
                  <w:divsChild>
                    <w:div w:id="133">
                      <w:marLeft w:val="0"/>
                      <w:marRight w:val="5604"/>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0"/>
                          <w:divBdr>
                            <w:top w:val="none" w:sz="0" w:space="0" w:color="auto"/>
                            <w:left w:val="none" w:sz="0" w:space="0" w:color="auto"/>
                            <w:bottom w:val="none" w:sz="0" w:space="0" w:color="auto"/>
                            <w:right w:val="none" w:sz="0" w:space="0" w:color="auto"/>
                          </w:divBdr>
                          <w:divsChild>
                            <w:div w:id="101">
                              <w:marLeft w:val="0"/>
                              <w:marRight w:val="0"/>
                              <w:marTop w:val="120"/>
                              <w:marBottom w:val="360"/>
                              <w:divBdr>
                                <w:top w:val="none" w:sz="0" w:space="0" w:color="auto"/>
                                <w:left w:val="none" w:sz="0" w:space="0" w:color="auto"/>
                                <w:bottom w:val="none" w:sz="0" w:space="0" w:color="auto"/>
                                <w:right w:val="none" w:sz="0" w:space="0" w:color="auto"/>
                              </w:divBdr>
                              <w:divsChild>
                                <w:div w:id="110">
                                  <w:marLeft w:val="420"/>
                                  <w:marRight w:val="0"/>
                                  <w:marTop w:val="0"/>
                                  <w:marBottom w:val="0"/>
                                  <w:divBdr>
                                    <w:top w:val="none" w:sz="0" w:space="0" w:color="auto"/>
                                    <w:left w:val="none" w:sz="0" w:space="0" w:color="auto"/>
                                    <w:bottom w:val="none" w:sz="0" w:space="0" w:color="auto"/>
                                    <w:right w:val="none" w:sz="0" w:space="0" w:color="auto"/>
                                  </w:divBdr>
                                  <w:divsChild>
                                    <w:div w:id="12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
      <w:marLeft w:val="0"/>
      <w:marRight w:val="0"/>
      <w:marTop w:val="0"/>
      <w:marBottom w:val="0"/>
      <w:divBdr>
        <w:top w:val="none" w:sz="0" w:space="0" w:color="auto"/>
        <w:left w:val="none" w:sz="0" w:space="0" w:color="auto"/>
        <w:bottom w:val="none" w:sz="0" w:space="0" w:color="auto"/>
        <w:right w:val="none" w:sz="0" w:space="0" w:color="auto"/>
      </w:divBdr>
    </w:div>
    <w:div w:id="1814328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barbarossa@unibo.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8DE167-6F63-4044-B5EE-6BE58EA03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5272</Words>
  <Characters>30054</Characters>
  <Application>Microsoft Office Word</Application>
  <DocSecurity>0</DocSecurity>
  <Lines>250</Lines>
  <Paragraphs>70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Accuracy of a point-of-care ELISA test kit for predicting presence of protective canine parvovirus and canine distemper virus antibody concentrations in dogs</vt:lpstr>
      <vt:lpstr>Accuracy of a point-of-care ELISA test kit for predicting presence of protective canine parvovirus and canine distemper virus antibody concentrations in dogs</vt:lpstr>
    </vt:vector>
  </TitlesOfParts>
  <Company>Purdue University</Company>
  <LinksUpToDate>false</LinksUpToDate>
  <CharactersWithSpaces>35256</CharactersWithSpaces>
  <SharedDoc>false</SharedDoc>
  <HLinks>
    <vt:vector size="114" baseType="variant">
      <vt:variant>
        <vt:i4>1966136</vt:i4>
      </vt:variant>
      <vt:variant>
        <vt:i4>42</vt:i4>
      </vt:variant>
      <vt:variant>
        <vt:i4>0</vt:i4>
      </vt:variant>
      <vt:variant>
        <vt:i4>5</vt:i4>
      </vt:variant>
      <vt:variant>
        <vt:lpwstr>javascript:AL_get(this, 'jour', 'J Am Vet Med Assoc.');</vt:lpwstr>
      </vt:variant>
      <vt:variant>
        <vt:lpwstr/>
      </vt:variant>
      <vt:variant>
        <vt:i4>1966136</vt:i4>
      </vt:variant>
      <vt:variant>
        <vt:i4>39</vt:i4>
      </vt:variant>
      <vt:variant>
        <vt:i4>0</vt:i4>
      </vt:variant>
      <vt:variant>
        <vt:i4>5</vt:i4>
      </vt:variant>
      <vt:variant>
        <vt:lpwstr>javascript:AL_get(this, 'jour', 'J Am Vet Med Assoc.');</vt:lpwstr>
      </vt:variant>
      <vt:variant>
        <vt:lpwstr/>
      </vt:variant>
      <vt:variant>
        <vt:i4>4063272</vt:i4>
      </vt:variant>
      <vt:variant>
        <vt:i4>36</vt:i4>
      </vt:variant>
      <vt:variant>
        <vt:i4>0</vt:i4>
      </vt:variant>
      <vt:variant>
        <vt:i4>5</vt:i4>
      </vt:variant>
      <vt:variant>
        <vt:lpwstr>http://www.ncbi.nlm.nih.gov/pubmed/1759903</vt:lpwstr>
      </vt:variant>
      <vt:variant>
        <vt:lpwstr/>
      </vt:variant>
      <vt:variant>
        <vt:i4>6815755</vt:i4>
      </vt:variant>
      <vt:variant>
        <vt:i4>33</vt:i4>
      </vt:variant>
      <vt:variant>
        <vt:i4>0</vt:i4>
      </vt:variant>
      <vt:variant>
        <vt:i4>5</vt:i4>
      </vt:variant>
      <vt:variant>
        <vt:lpwstr>javascript:AL_get(this, 'jour', 'Am J Vet Res.');</vt:lpwstr>
      </vt:variant>
      <vt:variant>
        <vt:lpwstr/>
      </vt:variant>
      <vt:variant>
        <vt:i4>131164</vt:i4>
      </vt:variant>
      <vt:variant>
        <vt:i4>30</vt:i4>
      </vt:variant>
      <vt:variant>
        <vt:i4>0</vt:i4>
      </vt:variant>
      <vt:variant>
        <vt:i4>5</vt:i4>
      </vt:variant>
      <vt:variant>
        <vt:lpwstr>http://www.ncbi.nlm.nih.gov/pubmed?term=%22Appel%20MJ%22%5BAuthor%5D</vt:lpwstr>
      </vt:variant>
      <vt:variant>
        <vt:lpwstr/>
      </vt:variant>
      <vt:variant>
        <vt:i4>1966171</vt:i4>
      </vt:variant>
      <vt:variant>
        <vt:i4>27</vt:i4>
      </vt:variant>
      <vt:variant>
        <vt:i4>0</vt:i4>
      </vt:variant>
      <vt:variant>
        <vt:i4>5</vt:i4>
      </vt:variant>
      <vt:variant>
        <vt:lpwstr>http://www.ncbi.nlm.nih.gov/pubmed?term=%22Marchwicki%20RH%22%5BAuthor%5D</vt:lpwstr>
      </vt:variant>
      <vt:variant>
        <vt:lpwstr/>
      </vt:variant>
      <vt:variant>
        <vt:i4>852042</vt:i4>
      </vt:variant>
      <vt:variant>
        <vt:i4>24</vt:i4>
      </vt:variant>
      <vt:variant>
        <vt:i4>0</vt:i4>
      </vt:variant>
      <vt:variant>
        <vt:i4>5</vt:i4>
      </vt:variant>
      <vt:variant>
        <vt:lpwstr>http://www.ncbi.nlm.nih.gov/pubmed?term=%22Keefe%20TJ%22%5BAuthor%5D</vt:lpwstr>
      </vt:variant>
      <vt:variant>
        <vt:lpwstr/>
      </vt:variant>
      <vt:variant>
        <vt:i4>6357053</vt:i4>
      </vt:variant>
      <vt:variant>
        <vt:i4>21</vt:i4>
      </vt:variant>
      <vt:variant>
        <vt:i4>0</vt:i4>
      </vt:variant>
      <vt:variant>
        <vt:i4>5</vt:i4>
      </vt:variant>
      <vt:variant>
        <vt:lpwstr>http://www.ncbi.nlm.nih.gov/pubmed?term=%22Binn%20LN%22%5BAuthor%5D</vt:lpwstr>
      </vt:variant>
      <vt:variant>
        <vt:lpwstr/>
      </vt:variant>
      <vt:variant>
        <vt:i4>3145835</vt:i4>
      </vt:variant>
      <vt:variant>
        <vt:i4>18</vt:i4>
      </vt:variant>
      <vt:variant>
        <vt:i4>0</vt:i4>
      </vt:variant>
      <vt:variant>
        <vt:i4>5</vt:i4>
      </vt:variant>
      <vt:variant>
        <vt:lpwstr>http://www.ncbi.nlm.nih.gov/pubmed?term=%22Rogul%20M%22%5BAuthor%5D</vt:lpwstr>
      </vt:variant>
      <vt:variant>
        <vt:lpwstr/>
      </vt:variant>
      <vt:variant>
        <vt:i4>6553660</vt:i4>
      </vt:variant>
      <vt:variant>
        <vt:i4>15</vt:i4>
      </vt:variant>
      <vt:variant>
        <vt:i4>0</vt:i4>
      </vt:variant>
      <vt:variant>
        <vt:i4>5</vt:i4>
      </vt:variant>
      <vt:variant>
        <vt:lpwstr>http://www.ncbi.nlm.nih.gov/pubmed?term=%22Noon%20KF%22%5BAuthor%5D</vt:lpwstr>
      </vt:variant>
      <vt:variant>
        <vt:lpwstr/>
      </vt:variant>
      <vt:variant>
        <vt:i4>1638463</vt:i4>
      </vt:variant>
      <vt:variant>
        <vt:i4>12</vt:i4>
      </vt:variant>
      <vt:variant>
        <vt:i4>0</vt:i4>
      </vt:variant>
      <vt:variant>
        <vt:i4>5</vt:i4>
      </vt:variant>
      <vt:variant>
        <vt:lpwstr>javascript:AL_get(this,%20'jour',%20'J%20Am%20Vet%20Med%20Assoc.');</vt:lpwstr>
      </vt:variant>
      <vt:variant>
        <vt:lpwstr/>
      </vt:variant>
      <vt:variant>
        <vt:i4>1966136</vt:i4>
      </vt:variant>
      <vt:variant>
        <vt:i4>9</vt:i4>
      </vt:variant>
      <vt:variant>
        <vt:i4>0</vt:i4>
      </vt:variant>
      <vt:variant>
        <vt:i4>5</vt:i4>
      </vt:variant>
      <vt:variant>
        <vt:lpwstr>javascript:AL_get(this, 'jour', 'J Am Vet Med Assoc.');</vt:lpwstr>
      </vt:variant>
      <vt:variant>
        <vt:lpwstr/>
      </vt:variant>
      <vt:variant>
        <vt:i4>196692</vt:i4>
      </vt:variant>
      <vt:variant>
        <vt:i4>6</vt:i4>
      </vt:variant>
      <vt:variant>
        <vt:i4>0</vt:i4>
      </vt:variant>
      <vt:variant>
        <vt:i4>5</vt:i4>
      </vt:variant>
      <vt:variant>
        <vt:lpwstr>http://www.ncbi.nlm.nih.gov/pubmed?term=%22Gillespie%20JH%22%5BAuthor%5D</vt:lpwstr>
      </vt:variant>
      <vt:variant>
        <vt:lpwstr/>
      </vt:variant>
      <vt:variant>
        <vt:i4>7143519</vt:i4>
      </vt:variant>
      <vt:variant>
        <vt:i4>3</vt:i4>
      </vt:variant>
      <vt:variant>
        <vt:i4>0</vt:i4>
      </vt:variant>
      <vt:variant>
        <vt:i4>5</vt:i4>
      </vt:variant>
      <vt:variant>
        <vt:lpwstr>javascript:AL_get(this, 'jour', 'J Vet Med B Infect Dis Vet Public Health.');</vt:lpwstr>
      </vt:variant>
      <vt:variant>
        <vt:lpwstr/>
      </vt:variant>
      <vt:variant>
        <vt:i4>3407892</vt:i4>
      </vt:variant>
      <vt:variant>
        <vt:i4>0</vt:i4>
      </vt:variant>
      <vt:variant>
        <vt:i4>0</vt:i4>
      </vt:variant>
      <vt:variant>
        <vt:i4>5</vt:i4>
      </vt:variant>
      <vt:variant>
        <vt:lpwstr>mailto:catvet@purdue.edu</vt:lpwstr>
      </vt:variant>
      <vt:variant>
        <vt:lpwstr/>
      </vt:variant>
      <vt:variant>
        <vt:i4>2162788</vt:i4>
      </vt:variant>
      <vt:variant>
        <vt:i4>9</vt:i4>
      </vt:variant>
      <vt:variant>
        <vt:i4>0</vt:i4>
      </vt:variant>
      <vt:variant>
        <vt:i4>5</vt:i4>
      </vt:variant>
      <vt:variant>
        <vt:lpwstr>http://www.maddiesfund.org/</vt:lpwstr>
      </vt:variant>
      <vt:variant>
        <vt:lpwstr/>
      </vt:variant>
      <vt:variant>
        <vt:i4>7274548</vt:i4>
      </vt:variant>
      <vt:variant>
        <vt:i4>6</vt:i4>
      </vt:variant>
      <vt:variant>
        <vt:i4>0</vt:i4>
      </vt:variant>
      <vt:variant>
        <vt:i4>5</vt:i4>
      </vt:variant>
      <vt:variant>
        <vt:lpwstr>http://www.clive.ed.ac.uk/winepiscope/</vt:lpwstr>
      </vt:variant>
      <vt:variant>
        <vt:lpwstr/>
      </vt:variant>
      <vt:variant>
        <vt:i4>3145780</vt:i4>
      </vt:variant>
      <vt:variant>
        <vt:i4>3</vt:i4>
      </vt:variant>
      <vt:variant>
        <vt:i4>0</vt:i4>
      </vt:variant>
      <vt:variant>
        <vt:i4>5</vt:i4>
      </vt:variant>
      <vt:variant>
        <vt:lpwstr>http://www.aahanet.org/PublicDocuments/CanineVaccineGuidelines.pdf</vt:lpwstr>
      </vt:variant>
      <vt:variant>
        <vt:lpwstr/>
      </vt:variant>
      <vt:variant>
        <vt:i4>4653126</vt:i4>
      </vt:variant>
      <vt:variant>
        <vt:i4>0</vt:i4>
      </vt:variant>
      <vt:variant>
        <vt:i4>0</vt:i4>
      </vt:variant>
      <vt:variant>
        <vt:i4>5</vt:i4>
      </vt:variant>
      <vt:variant>
        <vt:lpwstr>http://www.synbiotics.com/Products/CompanionAnimals/Canine/TiterCHEK-CDV-CPV-Parvo/96-0460-DI.pdf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Accuracy of a point-of-care ELISA test kit for predicting presence of protective canine parvovirus and canine distemper virus antibody concentrations in dogs</dc:title>
  <dc:subject/>
  <dc:creator>allitste</dc:creator>
  <cp:keywords/>
  <dc:description/>
  <cp:lastModifiedBy>Andrea Barbarossa</cp:lastModifiedBy>
  <cp:revision>21</cp:revision>
  <cp:lastPrinted>2016-07-30T13:19:00Z</cp:lastPrinted>
  <dcterms:created xsi:type="dcterms:W3CDTF">2017-03-20T15:35:00Z</dcterms:created>
  <dcterms:modified xsi:type="dcterms:W3CDTF">2021-07-09T12:50:00Z</dcterms:modified>
</cp:coreProperties>
</file>