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1026" w:rsidRDefault="000D1026" w:rsidP="000D1026">
      <w:pPr>
        <w:pStyle w:val="Titolo1"/>
        <w:rPr>
          <w:rFonts w:ascii="Times New Roman" w:hAnsi="Times New Roman" w:cs="Times New Roman"/>
          <w:sz w:val="44"/>
          <w:szCs w:val="44"/>
        </w:rPr>
      </w:pPr>
      <w:proofErr w:type="spellStart"/>
      <w:r w:rsidRPr="005847F8">
        <w:rPr>
          <w:rFonts w:ascii="Times New Roman" w:hAnsi="Times New Roman" w:cs="Times New Roman"/>
          <w:sz w:val="44"/>
          <w:szCs w:val="44"/>
        </w:rPr>
        <w:t>This</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is</w:t>
      </w:r>
      <w:proofErr w:type="spellEnd"/>
      <w:r w:rsidRPr="005847F8">
        <w:rPr>
          <w:rFonts w:ascii="Times New Roman" w:hAnsi="Times New Roman" w:cs="Times New Roman"/>
          <w:sz w:val="44"/>
          <w:szCs w:val="44"/>
        </w:rPr>
        <w:t xml:space="preserve"> the </w:t>
      </w:r>
      <w:proofErr w:type="spellStart"/>
      <w:r w:rsidRPr="005847F8">
        <w:rPr>
          <w:rFonts w:ascii="Times New Roman" w:hAnsi="Times New Roman" w:cs="Times New Roman"/>
          <w:sz w:val="44"/>
          <w:szCs w:val="44"/>
        </w:rPr>
        <w:t>final</w:t>
      </w:r>
      <w:proofErr w:type="spellEnd"/>
      <w:r w:rsidRPr="005847F8">
        <w:rPr>
          <w:rFonts w:ascii="Times New Roman" w:hAnsi="Times New Roman" w:cs="Times New Roman"/>
          <w:sz w:val="44"/>
          <w:szCs w:val="44"/>
        </w:rPr>
        <w:t xml:space="preserve"> peer-</w:t>
      </w:r>
      <w:proofErr w:type="spellStart"/>
      <w:r w:rsidRPr="005847F8">
        <w:rPr>
          <w:rFonts w:ascii="Times New Roman" w:hAnsi="Times New Roman" w:cs="Times New Roman"/>
          <w:sz w:val="44"/>
          <w:szCs w:val="44"/>
        </w:rPr>
        <w:t>reviewed</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accepted</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manuscript</w:t>
      </w:r>
      <w:proofErr w:type="spellEnd"/>
      <w:r w:rsidRPr="005847F8">
        <w:rPr>
          <w:rFonts w:ascii="Times New Roman" w:hAnsi="Times New Roman" w:cs="Times New Roman"/>
          <w:sz w:val="44"/>
          <w:szCs w:val="44"/>
        </w:rPr>
        <w:t xml:space="preserve"> of: </w:t>
      </w:r>
      <w:proofErr w:type="spellStart"/>
      <w:r w:rsidRPr="000D1026">
        <w:rPr>
          <w:rFonts w:ascii="Times New Roman" w:hAnsi="Times New Roman" w:cs="Times New Roman"/>
          <w:sz w:val="44"/>
          <w:szCs w:val="44"/>
        </w:rPr>
        <w:t>Raﬀaele</w:t>
      </w:r>
      <w:proofErr w:type="spellEnd"/>
      <w:r w:rsidRPr="000D1026">
        <w:rPr>
          <w:rFonts w:ascii="Times New Roman" w:hAnsi="Times New Roman" w:cs="Times New Roman"/>
          <w:sz w:val="44"/>
          <w:szCs w:val="44"/>
        </w:rPr>
        <w:t xml:space="preserve"> Laudani</w:t>
      </w:r>
      <w:r>
        <w:rPr>
          <w:rFonts w:ascii="Times New Roman" w:hAnsi="Times New Roman" w:cs="Times New Roman"/>
          <w:sz w:val="44"/>
          <w:szCs w:val="44"/>
        </w:rPr>
        <w:t>,</w:t>
      </w:r>
      <w:r w:rsidRPr="000D1026">
        <w:rPr>
          <w:rFonts w:ascii="Times New Roman" w:hAnsi="Times New Roman" w:cs="Times New Roman"/>
          <w:sz w:val="44"/>
          <w:szCs w:val="44"/>
        </w:rPr>
        <w:t xml:space="preserve"> </w:t>
      </w:r>
      <w:r w:rsidRPr="000D1026">
        <w:rPr>
          <w:rFonts w:ascii="Times New Roman" w:hAnsi="Times New Roman" w:cs="Times New Roman"/>
          <w:i/>
          <w:sz w:val="44"/>
          <w:szCs w:val="44"/>
        </w:rPr>
        <w:t>Mare e Terra. Sui fondamenti spaziali della sovranità moderna</w:t>
      </w:r>
      <w:r w:rsidRPr="000D1026">
        <w:rPr>
          <w:rFonts w:ascii="Times New Roman" w:hAnsi="Times New Roman" w:cs="Times New Roman"/>
          <w:sz w:val="44"/>
          <w:szCs w:val="44"/>
        </w:rPr>
        <w:t xml:space="preserve"> (</w:t>
      </w:r>
      <w:proofErr w:type="spellStart"/>
      <w:r w:rsidRPr="000D1026">
        <w:rPr>
          <w:rFonts w:ascii="Times New Roman" w:hAnsi="Times New Roman" w:cs="Times New Roman"/>
          <w:sz w:val="44"/>
          <w:szCs w:val="44"/>
        </w:rPr>
        <w:t>doi</w:t>
      </w:r>
      <w:proofErr w:type="spellEnd"/>
      <w:r w:rsidRPr="000D1026">
        <w:rPr>
          <w:rFonts w:ascii="Times New Roman" w:hAnsi="Times New Roman" w:cs="Times New Roman"/>
          <w:sz w:val="44"/>
          <w:szCs w:val="44"/>
        </w:rPr>
        <w:t xml:space="preserve">: 10.1416/81389) </w:t>
      </w:r>
      <w:proofErr w:type="spellStart"/>
      <w:r w:rsidRPr="000D1026">
        <w:rPr>
          <w:rFonts w:ascii="Times New Roman" w:hAnsi="Times New Roman" w:cs="Times New Roman"/>
          <w:sz w:val="44"/>
          <w:szCs w:val="44"/>
        </w:rPr>
        <w:t>Filosoﬁa</w:t>
      </w:r>
      <w:proofErr w:type="spellEnd"/>
      <w:r w:rsidRPr="000D1026">
        <w:rPr>
          <w:rFonts w:ascii="Times New Roman" w:hAnsi="Times New Roman" w:cs="Times New Roman"/>
          <w:sz w:val="44"/>
          <w:szCs w:val="44"/>
        </w:rPr>
        <w:t xml:space="preserve"> politica (ISSN 0394-7297) Fascicolo 3, dicembre 2015</w:t>
      </w:r>
      <w:r>
        <w:rPr>
          <w:rFonts w:ascii="Times New Roman" w:hAnsi="Times New Roman" w:cs="Times New Roman"/>
          <w:sz w:val="44"/>
          <w:szCs w:val="44"/>
        </w:rPr>
        <w:t xml:space="preserve">- </w:t>
      </w:r>
      <w:r>
        <w:rPr>
          <w:sz w:val="44"/>
          <w:szCs w:val="44"/>
        </w:rPr>
        <w:t>A</w:t>
      </w:r>
      <w:r w:rsidRPr="005847F8">
        <w:rPr>
          <w:rFonts w:ascii="Times New Roman" w:hAnsi="Times New Roman" w:cs="Times New Roman"/>
          <w:sz w:val="44"/>
          <w:szCs w:val="44"/>
        </w:rPr>
        <w:t xml:space="preserve">vailable online </w:t>
      </w:r>
      <w:proofErr w:type="spellStart"/>
      <w:r w:rsidRPr="005847F8">
        <w:rPr>
          <w:rFonts w:ascii="Times New Roman" w:hAnsi="Times New Roman" w:cs="Times New Roman"/>
          <w:sz w:val="44"/>
          <w:szCs w:val="44"/>
        </w:rPr>
        <w:t>at</w:t>
      </w:r>
      <w:proofErr w:type="spellEnd"/>
      <w:r w:rsidRPr="005847F8">
        <w:rPr>
          <w:rFonts w:ascii="Times New Roman" w:hAnsi="Times New Roman" w:cs="Times New Roman"/>
          <w:sz w:val="44"/>
          <w:szCs w:val="44"/>
        </w:rPr>
        <w:t xml:space="preserve">: </w:t>
      </w:r>
      <w:hyperlink r:id="rId7" w:history="1">
        <w:r w:rsidRPr="00D8309F">
          <w:rPr>
            <w:rStyle w:val="Collegamentoipertestuale"/>
            <w:rFonts w:ascii="Times New Roman" w:hAnsi="Times New Roman" w:cs="Times New Roman"/>
            <w:sz w:val="44"/>
            <w:szCs w:val="44"/>
          </w:rPr>
          <w:t>https://www.rivisteweb.it/doi/10.1416/91389</w:t>
        </w:r>
      </w:hyperlink>
    </w:p>
    <w:p w:rsidR="000D1026" w:rsidRDefault="000D1026" w:rsidP="000D1026">
      <w:pPr>
        <w:pStyle w:val="Titolo1"/>
        <w:rPr>
          <w:rFonts w:ascii="Times New Roman" w:hAnsi="Times New Roman" w:cs="Times New Roman"/>
          <w:sz w:val="44"/>
          <w:szCs w:val="44"/>
        </w:rPr>
      </w:pPr>
    </w:p>
    <w:p w:rsidR="000D1026" w:rsidRPr="005847F8" w:rsidRDefault="000D1026" w:rsidP="000D1026">
      <w:pPr>
        <w:pStyle w:val="Titolo1"/>
        <w:rPr>
          <w:rFonts w:ascii="Times New Roman" w:hAnsi="Times New Roman" w:cs="Times New Roman"/>
          <w:sz w:val="44"/>
          <w:szCs w:val="44"/>
        </w:rPr>
        <w:sectPr w:rsidR="000D1026" w:rsidRPr="005847F8" w:rsidSect="001702D4">
          <w:headerReference w:type="even" r:id="rId8"/>
          <w:headerReference w:type="default" r:id="rId9"/>
          <w:footerReference w:type="even" r:id="rId10"/>
          <w:footerReference w:type="default" r:id="rId11"/>
          <w:headerReference w:type="first" r:id="rId12"/>
          <w:footerReference w:type="first" r:id="rId13"/>
          <w:pgSz w:w="11906" w:h="16838" w:code="9"/>
          <w:pgMar w:top="1440" w:right="1288" w:bottom="1440" w:left="696" w:header="720" w:footer="720" w:gutter="0"/>
          <w:cols w:space="720"/>
          <w:docGrid w:linePitch="272"/>
        </w:sectPr>
      </w:pPr>
      <w:r w:rsidRPr="005847F8">
        <w:rPr>
          <w:rFonts w:ascii="Times New Roman" w:hAnsi="Times New Roman" w:cs="Times New Roman"/>
          <w:sz w:val="44"/>
          <w:szCs w:val="44"/>
        </w:rPr>
        <w:t xml:space="preserve">Rights / License: The </w:t>
      </w:r>
      <w:proofErr w:type="spellStart"/>
      <w:r w:rsidRPr="005847F8">
        <w:rPr>
          <w:rFonts w:ascii="Times New Roman" w:hAnsi="Times New Roman" w:cs="Times New Roman"/>
          <w:sz w:val="44"/>
          <w:szCs w:val="44"/>
        </w:rPr>
        <w:t>terms</w:t>
      </w:r>
      <w:proofErr w:type="spellEnd"/>
      <w:r w:rsidRPr="005847F8">
        <w:rPr>
          <w:rFonts w:ascii="Times New Roman" w:hAnsi="Times New Roman" w:cs="Times New Roman"/>
          <w:sz w:val="44"/>
          <w:szCs w:val="44"/>
        </w:rPr>
        <w:t xml:space="preserve"> and conditions for the </w:t>
      </w:r>
      <w:proofErr w:type="spellStart"/>
      <w:r w:rsidRPr="005847F8">
        <w:rPr>
          <w:rFonts w:ascii="Times New Roman" w:hAnsi="Times New Roman" w:cs="Times New Roman"/>
          <w:sz w:val="44"/>
          <w:szCs w:val="44"/>
        </w:rPr>
        <w:t>reuse</w:t>
      </w:r>
      <w:proofErr w:type="spellEnd"/>
      <w:r w:rsidRPr="005847F8">
        <w:rPr>
          <w:rFonts w:ascii="Times New Roman" w:hAnsi="Times New Roman" w:cs="Times New Roman"/>
          <w:sz w:val="44"/>
          <w:szCs w:val="44"/>
        </w:rPr>
        <w:t xml:space="preserve"> of </w:t>
      </w:r>
      <w:proofErr w:type="spellStart"/>
      <w:r w:rsidRPr="005847F8">
        <w:rPr>
          <w:rFonts w:ascii="Times New Roman" w:hAnsi="Times New Roman" w:cs="Times New Roman"/>
          <w:sz w:val="44"/>
          <w:szCs w:val="44"/>
        </w:rPr>
        <w:t>this</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version</w:t>
      </w:r>
      <w:proofErr w:type="spellEnd"/>
      <w:r w:rsidRPr="005847F8">
        <w:rPr>
          <w:rFonts w:ascii="Times New Roman" w:hAnsi="Times New Roman" w:cs="Times New Roman"/>
          <w:sz w:val="44"/>
          <w:szCs w:val="44"/>
        </w:rPr>
        <w:t xml:space="preserve"> of the </w:t>
      </w:r>
      <w:proofErr w:type="spellStart"/>
      <w:r w:rsidRPr="005847F8">
        <w:rPr>
          <w:rFonts w:ascii="Times New Roman" w:hAnsi="Times New Roman" w:cs="Times New Roman"/>
          <w:sz w:val="44"/>
          <w:szCs w:val="44"/>
        </w:rPr>
        <w:t>manuscript</w:t>
      </w:r>
      <w:proofErr w:type="spellEnd"/>
      <w:r w:rsidRPr="005847F8">
        <w:rPr>
          <w:rFonts w:ascii="Times New Roman" w:hAnsi="Times New Roman" w:cs="Times New Roman"/>
          <w:sz w:val="44"/>
          <w:szCs w:val="44"/>
        </w:rPr>
        <w:t xml:space="preserve"> are </w:t>
      </w:r>
      <w:proofErr w:type="spellStart"/>
      <w:r w:rsidRPr="005847F8">
        <w:rPr>
          <w:rFonts w:ascii="Times New Roman" w:hAnsi="Times New Roman" w:cs="Times New Roman"/>
          <w:sz w:val="44"/>
          <w:szCs w:val="44"/>
        </w:rPr>
        <w:t>specified</w:t>
      </w:r>
      <w:proofErr w:type="spellEnd"/>
      <w:r w:rsidRPr="005847F8">
        <w:rPr>
          <w:rFonts w:ascii="Times New Roman" w:hAnsi="Times New Roman" w:cs="Times New Roman"/>
          <w:sz w:val="44"/>
          <w:szCs w:val="44"/>
        </w:rPr>
        <w:t xml:space="preserve"> in the publishing policy. For </w:t>
      </w:r>
      <w:proofErr w:type="spellStart"/>
      <w:r w:rsidRPr="005847F8">
        <w:rPr>
          <w:rFonts w:ascii="Times New Roman" w:hAnsi="Times New Roman" w:cs="Times New Roman"/>
          <w:sz w:val="44"/>
          <w:szCs w:val="44"/>
        </w:rPr>
        <w:t>all</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terms</w:t>
      </w:r>
      <w:proofErr w:type="spellEnd"/>
      <w:r w:rsidRPr="005847F8">
        <w:rPr>
          <w:rFonts w:ascii="Times New Roman" w:hAnsi="Times New Roman" w:cs="Times New Roman"/>
          <w:sz w:val="44"/>
          <w:szCs w:val="44"/>
        </w:rPr>
        <w:t xml:space="preserve"> of use and more information </w:t>
      </w:r>
      <w:proofErr w:type="spellStart"/>
      <w:r w:rsidRPr="005847F8">
        <w:rPr>
          <w:rFonts w:ascii="Times New Roman" w:hAnsi="Times New Roman" w:cs="Times New Roman"/>
          <w:sz w:val="44"/>
          <w:szCs w:val="44"/>
        </w:rPr>
        <w:t>see</w:t>
      </w:r>
      <w:proofErr w:type="spellEnd"/>
      <w:r w:rsidRPr="005847F8">
        <w:rPr>
          <w:rFonts w:ascii="Times New Roman" w:hAnsi="Times New Roman" w:cs="Times New Roman"/>
          <w:sz w:val="44"/>
          <w:szCs w:val="44"/>
        </w:rPr>
        <w:t xml:space="preserve"> the </w:t>
      </w:r>
      <w:proofErr w:type="spellStart"/>
      <w:r w:rsidRPr="005847F8">
        <w:rPr>
          <w:rFonts w:ascii="Times New Roman" w:hAnsi="Times New Roman" w:cs="Times New Roman"/>
          <w:sz w:val="44"/>
          <w:szCs w:val="44"/>
        </w:rPr>
        <w:t>publisher's</w:t>
      </w:r>
      <w:proofErr w:type="spellEnd"/>
      <w:r w:rsidRPr="005847F8">
        <w:rPr>
          <w:rFonts w:ascii="Times New Roman" w:hAnsi="Times New Roman" w:cs="Times New Roman"/>
          <w:sz w:val="44"/>
          <w:szCs w:val="44"/>
        </w:rPr>
        <w:t xml:space="preserve"> </w:t>
      </w:r>
      <w:proofErr w:type="spellStart"/>
      <w:r w:rsidRPr="005847F8">
        <w:rPr>
          <w:rFonts w:ascii="Times New Roman" w:hAnsi="Times New Roman" w:cs="Times New Roman"/>
          <w:sz w:val="44"/>
          <w:szCs w:val="44"/>
        </w:rPr>
        <w:t>websit</w:t>
      </w:r>
      <w:proofErr w:type="spellEnd"/>
    </w:p>
    <w:p w:rsidR="000D1026" w:rsidRDefault="000D1026" w:rsidP="000D1026">
      <w:pPr>
        <w:spacing w:after="497" w:line="265" w:lineRule="auto"/>
        <w:ind w:right="51" w:firstLine="0"/>
        <w:jc w:val="left"/>
        <w:rPr>
          <w:rFonts w:eastAsia="Calibri"/>
          <w:sz w:val="28"/>
        </w:rPr>
      </w:pPr>
    </w:p>
    <w:p w:rsidR="00545B3D" w:rsidRPr="00433FC0" w:rsidRDefault="004632E2" w:rsidP="00433FC0">
      <w:pPr>
        <w:spacing w:after="497" w:line="265" w:lineRule="auto"/>
        <w:ind w:left="10" w:right="51" w:hanging="10"/>
        <w:jc w:val="left"/>
      </w:pPr>
      <w:r w:rsidRPr="00433FC0">
        <w:rPr>
          <w:rFonts w:eastAsia="Calibri"/>
          <w:sz w:val="28"/>
        </w:rPr>
        <w:t>Raffaele Laudani</w:t>
      </w:r>
    </w:p>
    <w:p w:rsidR="00545B3D" w:rsidRPr="00433FC0" w:rsidRDefault="004632E2" w:rsidP="00433FC0">
      <w:pPr>
        <w:pStyle w:val="Titolo1"/>
        <w:spacing w:after="0"/>
        <w:ind w:right="50"/>
        <w:rPr>
          <w:rFonts w:ascii="Times New Roman" w:hAnsi="Times New Roman" w:cs="Times New Roman"/>
        </w:rPr>
      </w:pPr>
      <w:r w:rsidRPr="00433FC0">
        <w:rPr>
          <w:rFonts w:ascii="Times New Roman" w:hAnsi="Times New Roman" w:cs="Times New Roman"/>
          <w:b w:val="0"/>
          <w:color w:val="181717"/>
          <w:sz w:val="40"/>
        </w:rPr>
        <w:t>MARE E TERRA</w:t>
      </w:r>
    </w:p>
    <w:p w:rsidR="00545B3D" w:rsidRPr="00433FC0" w:rsidRDefault="004632E2" w:rsidP="00433FC0">
      <w:pPr>
        <w:spacing w:after="0" w:line="265" w:lineRule="auto"/>
        <w:ind w:left="10" w:hanging="10"/>
        <w:jc w:val="left"/>
      </w:pPr>
      <w:r w:rsidRPr="00433FC0">
        <w:rPr>
          <w:rFonts w:eastAsia="Calibri"/>
          <w:sz w:val="28"/>
        </w:rPr>
        <w:t>SUI FONDAMENTI SPAZIALI DELLA SOVRANITÀ MODERNA</w:t>
      </w:r>
    </w:p>
    <w:p w:rsidR="00545B3D" w:rsidRPr="00433FC0" w:rsidRDefault="004632E2">
      <w:pPr>
        <w:spacing w:after="156" w:line="259" w:lineRule="auto"/>
        <w:ind w:right="0" w:firstLine="0"/>
        <w:jc w:val="left"/>
      </w:pPr>
      <w:r w:rsidRPr="00433FC0">
        <w:rPr>
          <w:rFonts w:eastAsia="Calibri"/>
        </w:rPr>
        <w:t xml:space="preserve">Sea and Land. Notes on the </w:t>
      </w:r>
      <w:proofErr w:type="spellStart"/>
      <w:r w:rsidRPr="00433FC0">
        <w:rPr>
          <w:rFonts w:eastAsia="Calibri"/>
        </w:rPr>
        <w:t>spatial</w:t>
      </w:r>
      <w:proofErr w:type="spellEnd"/>
      <w:r w:rsidRPr="00433FC0">
        <w:rPr>
          <w:rFonts w:eastAsia="Calibri"/>
        </w:rPr>
        <w:t xml:space="preserve"> </w:t>
      </w:r>
      <w:proofErr w:type="spellStart"/>
      <w:r w:rsidRPr="00433FC0">
        <w:rPr>
          <w:rFonts w:eastAsia="Calibri"/>
        </w:rPr>
        <w:t>foundations</w:t>
      </w:r>
      <w:proofErr w:type="spellEnd"/>
      <w:r w:rsidRPr="00433FC0">
        <w:rPr>
          <w:rFonts w:eastAsia="Calibri"/>
        </w:rPr>
        <w:t xml:space="preserve"> of </w:t>
      </w:r>
      <w:proofErr w:type="spellStart"/>
      <w:r w:rsidRPr="00433FC0">
        <w:rPr>
          <w:rFonts w:eastAsia="Calibri"/>
        </w:rPr>
        <w:t>modern</w:t>
      </w:r>
      <w:proofErr w:type="spellEnd"/>
      <w:r w:rsidRPr="00433FC0">
        <w:rPr>
          <w:rFonts w:eastAsia="Calibri"/>
        </w:rPr>
        <w:t xml:space="preserve"> </w:t>
      </w:r>
      <w:proofErr w:type="spellStart"/>
      <w:r w:rsidRPr="00433FC0">
        <w:rPr>
          <w:rFonts w:eastAsia="Calibri"/>
        </w:rPr>
        <w:t>sovereignty</w:t>
      </w:r>
      <w:proofErr w:type="spellEnd"/>
    </w:p>
    <w:p w:rsidR="00545B3D" w:rsidRPr="00433FC0" w:rsidRDefault="004632E2">
      <w:pPr>
        <w:spacing w:after="205" w:line="224" w:lineRule="auto"/>
        <w:ind w:left="10" w:right="49" w:hanging="10"/>
      </w:pPr>
      <w:proofErr w:type="spellStart"/>
      <w:r w:rsidRPr="00433FC0">
        <w:rPr>
          <w:sz w:val="18"/>
        </w:rPr>
        <w:t>This</w:t>
      </w:r>
      <w:proofErr w:type="spellEnd"/>
      <w:r w:rsidRPr="00433FC0">
        <w:rPr>
          <w:sz w:val="18"/>
        </w:rPr>
        <w:t xml:space="preserve"> </w:t>
      </w:r>
      <w:proofErr w:type="spellStart"/>
      <w:r w:rsidRPr="00433FC0">
        <w:rPr>
          <w:sz w:val="18"/>
        </w:rPr>
        <w:t>essay</w:t>
      </w:r>
      <w:proofErr w:type="spellEnd"/>
      <w:r w:rsidRPr="00433FC0">
        <w:rPr>
          <w:sz w:val="18"/>
        </w:rPr>
        <w:t xml:space="preserve"> re-</w:t>
      </w:r>
      <w:proofErr w:type="spellStart"/>
      <w:r w:rsidRPr="00433FC0">
        <w:rPr>
          <w:sz w:val="18"/>
        </w:rPr>
        <w:t>considers</w:t>
      </w:r>
      <w:proofErr w:type="spellEnd"/>
      <w:r w:rsidRPr="00433FC0">
        <w:rPr>
          <w:sz w:val="18"/>
        </w:rPr>
        <w:t xml:space="preserve"> </w:t>
      </w:r>
      <w:proofErr w:type="spellStart"/>
      <w:r w:rsidRPr="00433FC0">
        <w:rPr>
          <w:sz w:val="18"/>
        </w:rPr>
        <w:t>key</w:t>
      </w:r>
      <w:proofErr w:type="spellEnd"/>
      <w:r w:rsidRPr="00433FC0">
        <w:rPr>
          <w:sz w:val="18"/>
        </w:rPr>
        <w:t xml:space="preserve"> </w:t>
      </w:r>
      <w:proofErr w:type="spellStart"/>
      <w:r w:rsidRPr="00433FC0">
        <w:rPr>
          <w:sz w:val="18"/>
        </w:rPr>
        <w:t>aspects</w:t>
      </w:r>
      <w:proofErr w:type="spellEnd"/>
      <w:r w:rsidRPr="00433FC0">
        <w:rPr>
          <w:sz w:val="18"/>
        </w:rPr>
        <w:t xml:space="preserve"> of Carl </w:t>
      </w:r>
      <w:proofErr w:type="spellStart"/>
      <w:r w:rsidRPr="00433FC0">
        <w:rPr>
          <w:sz w:val="18"/>
        </w:rPr>
        <w:t>Schmitt’s</w:t>
      </w:r>
      <w:proofErr w:type="spellEnd"/>
      <w:r w:rsidRPr="00433FC0">
        <w:rPr>
          <w:sz w:val="18"/>
        </w:rPr>
        <w:t xml:space="preserve"> </w:t>
      </w:r>
      <w:proofErr w:type="spellStart"/>
      <w:r w:rsidRPr="00433FC0">
        <w:rPr>
          <w:sz w:val="18"/>
        </w:rPr>
        <w:t>spatial</w:t>
      </w:r>
      <w:proofErr w:type="spellEnd"/>
      <w:r w:rsidRPr="00433FC0">
        <w:rPr>
          <w:sz w:val="18"/>
        </w:rPr>
        <w:t xml:space="preserve"> </w:t>
      </w:r>
      <w:proofErr w:type="spellStart"/>
      <w:r w:rsidRPr="00433FC0">
        <w:rPr>
          <w:sz w:val="18"/>
        </w:rPr>
        <w:t>interpretation</w:t>
      </w:r>
      <w:proofErr w:type="spellEnd"/>
      <w:r w:rsidRPr="00433FC0">
        <w:rPr>
          <w:sz w:val="18"/>
        </w:rPr>
        <w:t xml:space="preserve"> of </w:t>
      </w:r>
      <w:proofErr w:type="spellStart"/>
      <w:r w:rsidRPr="00433FC0">
        <w:rPr>
          <w:sz w:val="18"/>
        </w:rPr>
        <w:t>modern</w:t>
      </w:r>
      <w:proofErr w:type="spellEnd"/>
      <w:r w:rsidRPr="00433FC0">
        <w:rPr>
          <w:sz w:val="18"/>
        </w:rPr>
        <w:t xml:space="preserve"> </w:t>
      </w:r>
      <w:proofErr w:type="spellStart"/>
      <w:r w:rsidRPr="00433FC0">
        <w:rPr>
          <w:sz w:val="18"/>
        </w:rPr>
        <w:t>political</w:t>
      </w:r>
      <w:proofErr w:type="spellEnd"/>
      <w:r w:rsidRPr="00433FC0">
        <w:rPr>
          <w:sz w:val="18"/>
        </w:rPr>
        <w:t xml:space="preserve"> </w:t>
      </w:r>
      <w:proofErr w:type="spellStart"/>
      <w:r w:rsidRPr="00433FC0">
        <w:rPr>
          <w:sz w:val="18"/>
        </w:rPr>
        <w:t>order</w:t>
      </w:r>
      <w:proofErr w:type="spellEnd"/>
      <w:r w:rsidRPr="00433FC0">
        <w:rPr>
          <w:sz w:val="18"/>
        </w:rPr>
        <w:t xml:space="preserve">, </w:t>
      </w:r>
      <w:proofErr w:type="spellStart"/>
      <w:r w:rsidRPr="00433FC0">
        <w:rPr>
          <w:sz w:val="18"/>
        </w:rPr>
        <w:t>emancipating</w:t>
      </w:r>
      <w:proofErr w:type="spellEnd"/>
      <w:r w:rsidRPr="00433FC0">
        <w:rPr>
          <w:sz w:val="18"/>
        </w:rPr>
        <w:t xml:space="preserve"> </w:t>
      </w:r>
      <w:proofErr w:type="spellStart"/>
      <w:r w:rsidRPr="00433FC0">
        <w:rPr>
          <w:sz w:val="18"/>
        </w:rPr>
        <w:t>Schmitt’s</w:t>
      </w:r>
      <w:proofErr w:type="spellEnd"/>
      <w:r w:rsidRPr="00433FC0">
        <w:rPr>
          <w:sz w:val="18"/>
        </w:rPr>
        <w:t xml:space="preserve"> </w:t>
      </w:r>
      <w:proofErr w:type="spellStart"/>
      <w:r w:rsidRPr="00433FC0">
        <w:rPr>
          <w:sz w:val="18"/>
        </w:rPr>
        <w:t>spatial</w:t>
      </w:r>
      <w:proofErr w:type="spellEnd"/>
      <w:r w:rsidRPr="00433FC0">
        <w:rPr>
          <w:sz w:val="18"/>
        </w:rPr>
        <w:t xml:space="preserve"> </w:t>
      </w:r>
      <w:proofErr w:type="spellStart"/>
      <w:r w:rsidRPr="00433FC0">
        <w:rPr>
          <w:sz w:val="18"/>
        </w:rPr>
        <w:t>categories</w:t>
      </w:r>
      <w:proofErr w:type="spellEnd"/>
      <w:r w:rsidRPr="00433FC0">
        <w:rPr>
          <w:sz w:val="18"/>
        </w:rPr>
        <w:t xml:space="preserve"> of «</w:t>
      </w:r>
      <w:proofErr w:type="spellStart"/>
      <w:r w:rsidRPr="00433FC0">
        <w:rPr>
          <w:sz w:val="18"/>
        </w:rPr>
        <w:t>land</w:t>
      </w:r>
      <w:proofErr w:type="spellEnd"/>
      <w:r w:rsidRPr="00433FC0">
        <w:rPr>
          <w:sz w:val="18"/>
        </w:rPr>
        <w:t>» and «</w:t>
      </w:r>
      <w:proofErr w:type="spellStart"/>
      <w:r w:rsidRPr="00433FC0">
        <w:rPr>
          <w:sz w:val="18"/>
        </w:rPr>
        <w:t>sea</w:t>
      </w:r>
      <w:proofErr w:type="spellEnd"/>
      <w:r w:rsidRPr="00433FC0">
        <w:rPr>
          <w:sz w:val="18"/>
        </w:rPr>
        <w:t xml:space="preserve">» from </w:t>
      </w:r>
      <w:proofErr w:type="spellStart"/>
      <w:r w:rsidRPr="00433FC0">
        <w:rPr>
          <w:sz w:val="18"/>
        </w:rPr>
        <w:t>their</w:t>
      </w:r>
      <w:proofErr w:type="spellEnd"/>
      <w:r w:rsidRPr="00433FC0">
        <w:rPr>
          <w:sz w:val="18"/>
        </w:rPr>
        <w:t xml:space="preserve"> </w:t>
      </w:r>
      <w:proofErr w:type="spellStart"/>
      <w:r w:rsidRPr="00433FC0">
        <w:rPr>
          <w:sz w:val="18"/>
        </w:rPr>
        <w:t>original</w:t>
      </w:r>
      <w:proofErr w:type="spellEnd"/>
      <w:r w:rsidRPr="00433FC0">
        <w:rPr>
          <w:sz w:val="18"/>
        </w:rPr>
        <w:t xml:space="preserve"> </w:t>
      </w:r>
      <w:proofErr w:type="spellStart"/>
      <w:r w:rsidRPr="00433FC0">
        <w:rPr>
          <w:sz w:val="18"/>
        </w:rPr>
        <w:t>eurocentrism</w:t>
      </w:r>
      <w:proofErr w:type="spellEnd"/>
      <w:r w:rsidRPr="00433FC0">
        <w:rPr>
          <w:sz w:val="18"/>
        </w:rPr>
        <w:t xml:space="preserve">. </w:t>
      </w:r>
      <w:proofErr w:type="spellStart"/>
      <w:r w:rsidRPr="00433FC0">
        <w:rPr>
          <w:sz w:val="18"/>
        </w:rPr>
        <w:t>Through</w:t>
      </w:r>
      <w:proofErr w:type="spellEnd"/>
      <w:r w:rsidRPr="00433FC0">
        <w:rPr>
          <w:sz w:val="18"/>
        </w:rPr>
        <w:t xml:space="preserve"> the reading of selected </w:t>
      </w:r>
      <w:proofErr w:type="spellStart"/>
      <w:r w:rsidRPr="00433FC0">
        <w:rPr>
          <w:sz w:val="18"/>
        </w:rPr>
        <w:t>pages</w:t>
      </w:r>
      <w:proofErr w:type="spellEnd"/>
      <w:r w:rsidRPr="00433FC0">
        <w:rPr>
          <w:sz w:val="18"/>
        </w:rPr>
        <w:t xml:space="preserve"> from Thomas Hobbes’ </w:t>
      </w:r>
      <w:r w:rsidRPr="00433FC0">
        <w:rPr>
          <w:i/>
          <w:sz w:val="18"/>
        </w:rPr>
        <w:t>Leviathan</w:t>
      </w:r>
      <w:r w:rsidRPr="00433FC0">
        <w:rPr>
          <w:sz w:val="18"/>
        </w:rPr>
        <w:t xml:space="preserve">, John </w:t>
      </w:r>
      <w:proofErr w:type="spellStart"/>
      <w:r w:rsidRPr="00433FC0">
        <w:rPr>
          <w:sz w:val="18"/>
        </w:rPr>
        <w:t>Locke’s</w:t>
      </w:r>
      <w:proofErr w:type="spellEnd"/>
      <w:r w:rsidRPr="00433FC0">
        <w:rPr>
          <w:sz w:val="18"/>
        </w:rPr>
        <w:t xml:space="preserve"> </w:t>
      </w:r>
      <w:r w:rsidRPr="00433FC0">
        <w:rPr>
          <w:i/>
          <w:sz w:val="18"/>
        </w:rPr>
        <w:t xml:space="preserve">Second </w:t>
      </w:r>
      <w:proofErr w:type="spellStart"/>
      <w:r w:rsidRPr="00433FC0">
        <w:rPr>
          <w:i/>
          <w:sz w:val="18"/>
        </w:rPr>
        <w:t>Treatise</w:t>
      </w:r>
      <w:proofErr w:type="spellEnd"/>
      <w:r w:rsidRPr="00433FC0">
        <w:rPr>
          <w:i/>
          <w:sz w:val="18"/>
        </w:rPr>
        <w:t xml:space="preserve"> of Government</w:t>
      </w:r>
      <w:r w:rsidRPr="00433FC0">
        <w:rPr>
          <w:sz w:val="18"/>
        </w:rPr>
        <w:t xml:space="preserve">, and Thomas </w:t>
      </w:r>
      <w:proofErr w:type="spellStart"/>
      <w:r w:rsidRPr="00433FC0">
        <w:rPr>
          <w:sz w:val="18"/>
        </w:rPr>
        <w:t>Paine’s</w:t>
      </w:r>
      <w:proofErr w:type="spellEnd"/>
      <w:r w:rsidRPr="00433FC0">
        <w:rPr>
          <w:sz w:val="18"/>
        </w:rPr>
        <w:t xml:space="preserve"> </w:t>
      </w:r>
      <w:r w:rsidRPr="00433FC0">
        <w:rPr>
          <w:i/>
          <w:sz w:val="18"/>
        </w:rPr>
        <w:t xml:space="preserve">Common </w:t>
      </w:r>
      <w:proofErr w:type="spellStart"/>
      <w:r w:rsidRPr="00433FC0">
        <w:rPr>
          <w:i/>
          <w:sz w:val="18"/>
        </w:rPr>
        <w:t>Sense</w:t>
      </w:r>
      <w:proofErr w:type="spellEnd"/>
      <w:r w:rsidRPr="00433FC0">
        <w:rPr>
          <w:sz w:val="18"/>
        </w:rPr>
        <w:t xml:space="preserve">, the </w:t>
      </w:r>
      <w:proofErr w:type="spellStart"/>
      <w:r w:rsidRPr="00433FC0">
        <w:rPr>
          <w:sz w:val="18"/>
        </w:rPr>
        <w:t>author</w:t>
      </w:r>
      <w:proofErr w:type="spellEnd"/>
      <w:r w:rsidRPr="00433FC0">
        <w:rPr>
          <w:sz w:val="18"/>
        </w:rPr>
        <w:t xml:space="preserve"> </w:t>
      </w:r>
      <w:proofErr w:type="spellStart"/>
      <w:r w:rsidRPr="00433FC0">
        <w:rPr>
          <w:sz w:val="18"/>
        </w:rPr>
        <w:t>describes</w:t>
      </w:r>
      <w:proofErr w:type="spellEnd"/>
      <w:r w:rsidRPr="00433FC0">
        <w:rPr>
          <w:sz w:val="18"/>
        </w:rPr>
        <w:t xml:space="preserve"> </w:t>
      </w:r>
      <w:proofErr w:type="spellStart"/>
      <w:r w:rsidRPr="00433FC0">
        <w:rPr>
          <w:sz w:val="18"/>
        </w:rPr>
        <w:t>modern</w:t>
      </w:r>
      <w:proofErr w:type="spellEnd"/>
      <w:r w:rsidRPr="00433FC0">
        <w:rPr>
          <w:sz w:val="18"/>
        </w:rPr>
        <w:t xml:space="preserve"> theory of </w:t>
      </w:r>
      <w:proofErr w:type="spellStart"/>
      <w:r w:rsidRPr="00433FC0">
        <w:rPr>
          <w:sz w:val="18"/>
        </w:rPr>
        <w:t>sovereignty</w:t>
      </w:r>
      <w:proofErr w:type="spellEnd"/>
      <w:r w:rsidRPr="00433FC0">
        <w:rPr>
          <w:sz w:val="18"/>
        </w:rPr>
        <w:t xml:space="preserve"> </w:t>
      </w:r>
      <w:proofErr w:type="spellStart"/>
      <w:r w:rsidRPr="00433FC0">
        <w:rPr>
          <w:sz w:val="18"/>
        </w:rPr>
        <w:t>as</w:t>
      </w:r>
      <w:proofErr w:type="spellEnd"/>
      <w:r w:rsidRPr="00433FC0">
        <w:rPr>
          <w:sz w:val="18"/>
        </w:rPr>
        <w:t xml:space="preserve"> a </w:t>
      </w:r>
      <w:proofErr w:type="spellStart"/>
      <w:r w:rsidRPr="00433FC0">
        <w:rPr>
          <w:sz w:val="18"/>
        </w:rPr>
        <w:t>process</w:t>
      </w:r>
      <w:proofErr w:type="spellEnd"/>
      <w:r w:rsidRPr="00433FC0">
        <w:rPr>
          <w:sz w:val="18"/>
        </w:rPr>
        <w:t xml:space="preserve"> of «</w:t>
      </w:r>
      <w:proofErr w:type="spellStart"/>
      <w:r w:rsidRPr="00433FC0">
        <w:rPr>
          <w:sz w:val="18"/>
        </w:rPr>
        <w:t>reterritorialization</w:t>
      </w:r>
      <w:proofErr w:type="spellEnd"/>
      <w:r w:rsidRPr="00433FC0">
        <w:rPr>
          <w:sz w:val="18"/>
        </w:rPr>
        <w:t xml:space="preserve">» of the </w:t>
      </w:r>
      <w:proofErr w:type="spellStart"/>
      <w:r w:rsidRPr="00433FC0">
        <w:rPr>
          <w:sz w:val="18"/>
        </w:rPr>
        <w:t>natural</w:t>
      </w:r>
      <w:proofErr w:type="spellEnd"/>
      <w:r w:rsidRPr="00433FC0">
        <w:rPr>
          <w:sz w:val="18"/>
        </w:rPr>
        <w:t xml:space="preserve"> and </w:t>
      </w:r>
      <w:proofErr w:type="spellStart"/>
      <w:r w:rsidRPr="00433FC0">
        <w:rPr>
          <w:sz w:val="18"/>
        </w:rPr>
        <w:t>turbulent</w:t>
      </w:r>
      <w:proofErr w:type="spellEnd"/>
      <w:r w:rsidRPr="00433FC0">
        <w:rPr>
          <w:sz w:val="18"/>
        </w:rPr>
        <w:t xml:space="preserve"> </w:t>
      </w:r>
      <w:proofErr w:type="spellStart"/>
      <w:r w:rsidRPr="00433FC0">
        <w:rPr>
          <w:sz w:val="18"/>
        </w:rPr>
        <w:t>movement</w:t>
      </w:r>
      <w:proofErr w:type="spellEnd"/>
      <w:r w:rsidRPr="00433FC0">
        <w:rPr>
          <w:sz w:val="18"/>
        </w:rPr>
        <w:t xml:space="preserve"> of </w:t>
      </w:r>
      <w:proofErr w:type="spellStart"/>
      <w:r w:rsidRPr="00433FC0">
        <w:rPr>
          <w:sz w:val="18"/>
        </w:rPr>
        <w:t>politics</w:t>
      </w:r>
      <w:proofErr w:type="spellEnd"/>
      <w:r w:rsidRPr="00433FC0">
        <w:rPr>
          <w:sz w:val="18"/>
        </w:rPr>
        <w:t xml:space="preserve">. </w:t>
      </w:r>
    </w:p>
    <w:p w:rsidR="00545B3D" w:rsidRPr="00433FC0" w:rsidRDefault="004632E2">
      <w:pPr>
        <w:spacing w:after="437" w:line="224" w:lineRule="auto"/>
        <w:ind w:left="10" w:right="320" w:hanging="10"/>
        <w:rPr>
          <w:sz w:val="18"/>
        </w:rPr>
      </w:pPr>
      <w:r w:rsidRPr="00433FC0">
        <w:rPr>
          <w:i/>
          <w:sz w:val="18"/>
        </w:rPr>
        <w:t>Keywords</w:t>
      </w:r>
      <w:r w:rsidRPr="00433FC0">
        <w:rPr>
          <w:sz w:val="18"/>
        </w:rPr>
        <w:t xml:space="preserve">: </w:t>
      </w:r>
      <w:proofErr w:type="spellStart"/>
      <w:r w:rsidRPr="00433FC0">
        <w:rPr>
          <w:sz w:val="18"/>
        </w:rPr>
        <w:t>Sovereignty</w:t>
      </w:r>
      <w:proofErr w:type="spellEnd"/>
      <w:r w:rsidRPr="00433FC0">
        <w:rPr>
          <w:sz w:val="18"/>
        </w:rPr>
        <w:t xml:space="preserve">, </w:t>
      </w:r>
      <w:proofErr w:type="spellStart"/>
      <w:r w:rsidRPr="00433FC0">
        <w:rPr>
          <w:sz w:val="18"/>
        </w:rPr>
        <w:t>space</w:t>
      </w:r>
      <w:proofErr w:type="spellEnd"/>
      <w:r w:rsidRPr="00433FC0">
        <w:rPr>
          <w:sz w:val="18"/>
        </w:rPr>
        <w:t xml:space="preserve">, </w:t>
      </w:r>
      <w:proofErr w:type="spellStart"/>
      <w:r w:rsidRPr="00433FC0">
        <w:rPr>
          <w:sz w:val="18"/>
        </w:rPr>
        <w:t>land</w:t>
      </w:r>
      <w:proofErr w:type="spellEnd"/>
      <w:r w:rsidRPr="00433FC0">
        <w:rPr>
          <w:sz w:val="18"/>
        </w:rPr>
        <w:t xml:space="preserve">, </w:t>
      </w:r>
      <w:proofErr w:type="spellStart"/>
      <w:r w:rsidRPr="00433FC0">
        <w:rPr>
          <w:sz w:val="18"/>
        </w:rPr>
        <w:t>sea</w:t>
      </w:r>
      <w:proofErr w:type="spellEnd"/>
    </w:p>
    <w:p w:rsidR="00433FC0" w:rsidRPr="00433FC0" w:rsidRDefault="00433FC0" w:rsidP="00433FC0">
      <w:pPr>
        <w:spacing w:after="424" w:line="237" w:lineRule="auto"/>
        <w:ind w:left="-15" w:right="35" w:firstLine="340"/>
      </w:pPr>
      <w:r w:rsidRPr="00433FC0">
        <w:rPr>
          <w:sz w:val="17"/>
        </w:rPr>
        <w:t>Raffaele Laudani, Dipartimento di Storia Culture Civiltà, Università degli studi di Bologna, P.zza S. Giovanni in Monte 2, 40124 Bologna – raffaele.laudani@unibo.it</w:t>
      </w:r>
    </w:p>
    <w:p w:rsidR="00545B3D" w:rsidRPr="00433FC0" w:rsidRDefault="004632E2">
      <w:pPr>
        <w:spacing w:after="1" w:line="224" w:lineRule="auto"/>
        <w:ind w:left="2845" w:hanging="10"/>
      </w:pPr>
      <w:r w:rsidRPr="00433FC0">
        <w:rPr>
          <w:sz w:val="18"/>
        </w:rPr>
        <w:t xml:space="preserve">Il mare è […] quel barbarico stato di indistinzione e disordine da cui è emersa la civiltà e nel quale è sempre possibile che essa ricada. </w:t>
      </w:r>
    </w:p>
    <w:p w:rsidR="00545B3D" w:rsidRDefault="004632E2">
      <w:pPr>
        <w:spacing w:after="162" w:line="265" w:lineRule="auto"/>
        <w:ind w:left="10" w:right="35" w:hanging="10"/>
        <w:jc w:val="right"/>
        <w:rPr>
          <w:sz w:val="18"/>
        </w:rPr>
      </w:pPr>
      <w:r w:rsidRPr="00433FC0">
        <w:rPr>
          <w:sz w:val="18"/>
        </w:rPr>
        <w:t xml:space="preserve">W. H. </w:t>
      </w:r>
      <w:proofErr w:type="spellStart"/>
      <w:r w:rsidRPr="00433FC0">
        <w:rPr>
          <w:sz w:val="18"/>
        </w:rPr>
        <w:t>Auden</w:t>
      </w:r>
      <w:proofErr w:type="spellEnd"/>
    </w:p>
    <w:p w:rsidR="001702D4" w:rsidRPr="00433FC0" w:rsidRDefault="001702D4">
      <w:pPr>
        <w:spacing w:after="162" w:line="265" w:lineRule="auto"/>
        <w:ind w:left="10" w:right="35" w:hanging="10"/>
        <w:jc w:val="right"/>
      </w:pPr>
    </w:p>
    <w:p w:rsidR="00545B3D" w:rsidRPr="00433FC0" w:rsidRDefault="004632E2">
      <w:pPr>
        <w:spacing w:after="0" w:line="259" w:lineRule="auto"/>
        <w:ind w:left="260" w:right="0" w:firstLine="0"/>
        <w:jc w:val="center"/>
      </w:pPr>
      <w:r w:rsidRPr="00433FC0">
        <w:rPr>
          <w:sz w:val="18"/>
        </w:rPr>
        <w:t>Via sulle navi!</w:t>
      </w:r>
    </w:p>
    <w:p w:rsidR="00545B3D" w:rsidRPr="00433FC0" w:rsidRDefault="004632E2">
      <w:pPr>
        <w:spacing w:after="460" w:line="265" w:lineRule="auto"/>
        <w:ind w:left="10" w:right="35" w:hanging="10"/>
        <w:jc w:val="right"/>
      </w:pPr>
      <w:r w:rsidRPr="00433FC0">
        <w:rPr>
          <w:sz w:val="18"/>
        </w:rPr>
        <w:t>F. Nietzsche</w:t>
      </w:r>
    </w:p>
    <w:p w:rsidR="00545B3D" w:rsidRPr="00433FC0" w:rsidRDefault="004632E2">
      <w:pPr>
        <w:pStyle w:val="Titolo2"/>
        <w:ind w:left="-5"/>
        <w:rPr>
          <w:rFonts w:ascii="Times New Roman" w:hAnsi="Times New Roman" w:cs="Times New Roman"/>
        </w:rPr>
      </w:pPr>
      <w:r w:rsidRPr="00433FC0">
        <w:rPr>
          <w:rFonts w:ascii="Times New Roman" w:hAnsi="Times New Roman" w:cs="Times New Roman"/>
        </w:rPr>
        <w:t>1. Spazi della modernità</w:t>
      </w:r>
    </w:p>
    <w:p w:rsidR="00545B3D" w:rsidRPr="00433FC0" w:rsidRDefault="004632E2" w:rsidP="00433FC0">
      <w:pPr>
        <w:spacing w:after="0" w:line="226" w:lineRule="auto"/>
        <w:ind w:left="-17" w:right="34" w:firstLine="0"/>
      </w:pPr>
      <w:r w:rsidRPr="00433FC0">
        <w:t xml:space="preserve">Carl Schmitt descriveva lo </w:t>
      </w:r>
      <w:proofErr w:type="spellStart"/>
      <w:r w:rsidRPr="00433FC0">
        <w:rPr>
          <w:i/>
        </w:rPr>
        <w:t>jus</w:t>
      </w:r>
      <w:proofErr w:type="spellEnd"/>
      <w:r w:rsidRPr="00433FC0">
        <w:rPr>
          <w:i/>
        </w:rPr>
        <w:t xml:space="preserve"> publicum </w:t>
      </w:r>
      <w:proofErr w:type="spellStart"/>
      <w:r w:rsidRPr="00433FC0">
        <w:rPr>
          <w:i/>
        </w:rPr>
        <w:t>europeum</w:t>
      </w:r>
      <w:proofErr w:type="spellEnd"/>
      <w:r w:rsidRPr="00433FC0">
        <w:t xml:space="preserve"> come un inedito rapporto tra «Terra» e «Mare», ovverossia come un equilibrio tra una logica politica fondata sull’idea del </w:t>
      </w:r>
      <w:r w:rsidRPr="00433FC0">
        <w:rPr>
          <w:i/>
        </w:rPr>
        <w:t>limes</w:t>
      </w:r>
      <w:r w:rsidRPr="00433FC0">
        <w:t xml:space="preserve"> e della sovranità statuale quale principio di ordine fondamentale della politica, che aveva nella potenza continentale della Germania il suo migliore esempio, e un’altra, tipica della potenza britannica, che considera il mondo una </w:t>
      </w:r>
      <w:r w:rsidRPr="00433FC0">
        <w:rPr>
          <w:i/>
        </w:rPr>
        <w:t>tabula rasa</w:t>
      </w:r>
      <w:r w:rsidRPr="00433FC0">
        <w:t xml:space="preserve"> bisognosa di essere dominata dalla tecnica (il modello era in questo caso la nave, i nuovi e tecnologicamente sofisticati vascelli impiegati nelle rotte transatlantiche della prima modernità)</w:t>
      </w:r>
      <w:r w:rsidRPr="00433FC0">
        <w:rPr>
          <w:sz w:val="18"/>
          <w:vertAlign w:val="superscript"/>
        </w:rPr>
        <w:footnoteReference w:id="1"/>
      </w:r>
      <w:r w:rsidRPr="00433FC0">
        <w:t xml:space="preserve">. Benché pienamente consapevole che la rivoluzione spaziale della modernità fosse strettamente legata alla «scoperta» dell’Atlantico e del nuovo mondo, l’analisi </w:t>
      </w:r>
      <w:proofErr w:type="spellStart"/>
      <w:r w:rsidRPr="00433FC0">
        <w:t>schmittiana</w:t>
      </w:r>
      <w:proofErr w:type="spellEnd"/>
      <w:r w:rsidRPr="00433FC0">
        <w:t xml:space="preserve"> era però costruita su una prospettiva tipicamente europea e, per di più, elaborata durante i momenti finali della Seconda Guerra mondiale, quando cioè, con la ormai evidente caduta della Germania nazista e l’affermarsi della nuova leadership globale degli Stati Uniti, il </w:t>
      </w:r>
      <w:r w:rsidRPr="00433FC0">
        <w:rPr>
          <w:i/>
        </w:rPr>
        <w:t>nomos</w:t>
      </w:r>
      <w:r w:rsidRPr="00433FC0">
        <w:t xml:space="preserve"> della modernità appariva a Schmitt al crepuscolo, soppiantato da una nuova era spaziale dominata dall’«aria» o dal «fuoco», nella quale il mondo risultava unificato dalla forza intrinsecamente ignorante e annichilente delle armi aeree. Nella sua interpretazione dei fondamenti spaziali della modernità non mancano di conseguenza tratti che potremmo dire melanconici: retrospettivamente, lo </w:t>
      </w:r>
      <w:proofErr w:type="spellStart"/>
      <w:r w:rsidRPr="00433FC0">
        <w:rPr>
          <w:i/>
        </w:rPr>
        <w:t>jus</w:t>
      </w:r>
      <w:proofErr w:type="spellEnd"/>
      <w:r w:rsidRPr="00433FC0">
        <w:rPr>
          <w:i/>
        </w:rPr>
        <w:t xml:space="preserve"> publicum </w:t>
      </w:r>
      <w:proofErr w:type="spellStart"/>
      <w:r w:rsidRPr="00433FC0">
        <w:rPr>
          <w:i/>
        </w:rPr>
        <w:t>europeum</w:t>
      </w:r>
      <w:proofErr w:type="spellEnd"/>
      <w:r w:rsidRPr="00433FC0">
        <w:t xml:space="preserve"> appare certo il modo con cui la vecchia Europa ha imposto il proprio dominio sul resto del mondo, ma anche il «freno» con cui essa ha ritardato il proprio inesorabile declino dopo essersi aperta alle acque oceaniche che ne hanno rivelato il particolarismo geografico (</w:t>
      </w:r>
      <w:proofErr w:type="spellStart"/>
      <w:r w:rsidRPr="00433FC0">
        <w:rPr>
          <w:i/>
        </w:rPr>
        <w:t>katechon</w:t>
      </w:r>
      <w:proofErr w:type="spellEnd"/>
      <w:r w:rsidRPr="00433FC0">
        <w:t>)</w:t>
      </w:r>
      <w:r w:rsidRPr="00433FC0">
        <w:rPr>
          <w:sz w:val="18"/>
          <w:vertAlign w:val="superscript"/>
        </w:rPr>
        <w:footnoteReference w:id="2"/>
      </w:r>
      <w:r w:rsidRPr="00433FC0">
        <w:t xml:space="preserve">. </w:t>
      </w:r>
    </w:p>
    <w:p w:rsidR="00545B3D" w:rsidRPr="00433FC0" w:rsidRDefault="004632E2" w:rsidP="00433FC0">
      <w:pPr>
        <w:spacing w:after="0" w:line="226" w:lineRule="auto"/>
        <w:ind w:left="-17" w:right="34"/>
      </w:pPr>
      <w:r w:rsidRPr="00433FC0">
        <w:t>Sulla scorta delle acquisizioni recenti provenienti dalla storia atlantica e dagli studi postcoloniali, e più specificamente il loro progetto di «provincializzare l’Europa»</w:t>
      </w:r>
      <w:r w:rsidRPr="00433FC0">
        <w:rPr>
          <w:sz w:val="18"/>
          <w:vertAlign w:val="superscript"/>
        </w:rPr>
        <w:footnoteReference w:id="3"/>
      </w:r>
      <w:r w:rsidRPr="00433FC0">
        <w:t xml:space="preserve">, nelle pagine che seguono si cercherà di fornire una lettura parzialmente diversa dei fondamenti spaziali della sovranità moderna. «Terra» e «Mare» restano i due </w:t>
      </w:r>
      <w:r w:rsidRPr="00433FC0">
        <w:lastRenderedPageBreak/>
        <w:t xml:space="preserve">elementi su cui l’analisi è costruita, usati però in un’accezione più ampia di quella </w:t>
      </w:r>
      <w:proofErr w:type="spellStart"/>
      <w:r w:rsidRPr="00433FC0">
        <w:t>schmittiana</w:t>
      </w:r>
      <w:proofErr w:type="spellEnd"/>
      <w:r w:rsidRPr="00433FC0">
        <w:t xml:space="preserve">: la prima sintetizza una concezione </w:t>
      </w:r>
      <w:proofErr w:type="spellStart"/>
      <w:r w:rsidRPr="00433FC0">
        <w:t>terrocentrica</w:t>
      </w:r>
      <w:proofErr w:type="spellEnd"/>
      <w:r w:rsidRPr="00433FC0">
        <w:t xml:space="preserve"> della politica, in cui quest’ultima è pensata come statica e l’ordine esiste solo quando il conflitto è neutralizzato; il mare, invece, esprime una concezione fluida della politica, in cui l’ordine ha la forma di un movimento instabile e conflittuale tra poteri e attori contrapposti</w:t>
      </w:r>
      <w:r w:rsidRPr="00433FC0">
        <w:rPr>
          <w:sz w:val="18"/>
          <w:vertAlign w:val="superscript"/>
        </w:rPr>
        <w:footnoteReference w:id="4"/>
      </w:r>
      <w:r w:rsidRPr="00433FC0">
        <w:t xml:space="preserve">. </w:t>
      </w:r>
    </w:p>
    <w:p w:rsidR="00545B3D" w:rsidRPr="00433FC0" w:rsidRDefault="004632E2">
      <w:pPr>
        <w:ind w:left="-15" w:right="36"/>
      </w:pPr>
      <w:r w:rsidRPr="00433FC0">
        <w:t xml:space="preserve">Più in generale, da questa particolare angolazione atlantica e postcoloniale, il «Mare» appare come il primo e vero vettore della modernità politica: come hanno dimostrato Peter </w:t>
      </w:r>
      <w:proofErr w:type="spellStart"/>
      <w:r w:rsidRPr="00433FC0">
        <w:t>Linebaugh</w:t>
      </w:r>
      <w:proofErr w:type="spellEnd"/>
      <w:r w:rsidRPr="00433FC0">
        <w:t xml:space="preserve"> e Marcus </w:t>
      </w:r>
      <w:proofErr w:type="spellStart"/>
      <w:r w:rsidRPr="00433FC0">
        <w:t>Rediker</w:t>
      </w:r>
      <w:proofErr w:type="spellEnd"/>
      <w:r w:rsidRPr="00433FC0">
        <w:t xml:space="preserve"> nel loro ormai classico </w:t>
      </w:r>
      <w:r w:rsidRPr="00433FC0">
        <w:rPr>
          <w:i/>
        </w:rPr>
        <w:t>I ribelli dell’Atlantico</w:t>
      </w:r>
      <w:r w:rsidRPr="00433FC0">
        <w:t xml:space="preserve"> (2000), la prima età moderna ha visto infatti l’emergere di nuovi movimenti transnazionali e multietnici di disobbedienza e resistenza che nel mare – l’Oceano Atlantico – avevano il loro terreno di coltura e che erano a tal punto connessi alla circolazione marittima di beni, persone e idee che hanno caratterizzato le rotte atlantiche del primo capitalismo da essere rappresentati e descritti nella cultura ufficiale con terrificanti immagini acquatiche, come quella mitica della «idra dalle molte teste» su cui i due storici statunitensi costruiscono la propria ricerca</w:t>
      </w:r>
      <w:r w:rsidRPr="00433FC0">
        <w:rPr>
          <w:sz w:val="18"/>
          <w:vertAlign w:val="superscript"/>
        </w:rPr>
        <w:footnoteReference w:id="5"/>
      </w:r>
      <w:r w:rsidRPr="00433FC0">
        <w:t>. Il diffondersi di questi nuovi movimenti ha favorito l’emergere di un modo nuovo (e moderno) di concepire la politica, nei termini di un conflitto immanente tra un potere che mira a imporre il proprio dominio unitario sulla naturale tendenza alla cooperazione libera e uguale tra esseri umani e il tentativo (almeno potenziale) dei molti di sottrarsi a questa logica del dominio. In questa prospettiva, il potere politico appariva tanto accentratore quanto improvvisamente fragile e precario perché in fondo dipendente dal consenso di chi vi era sottoposto (servitù volontaria)</w:t>
      </w:r>
      <w:r w:rsidRPr="00433FC0">
        <w:rPr>
          <w:sz w:val="18"/>
          <w:vertAlign w:val="superscript"/>
        </w:rPr>
        <w:footnoteReference w:id="6"/>
      </w:r>
      <w:r w:rsidRPr="00433FC0">
        <w:t>. Similmente, come Philip J. Stern ha brillantemente mostrato nel caso della Compagnia delle Indie Orientali, in questo spazio marittimo transnazionale i nuovi attori dell’economia capitalistica, quali ad esempio compagnie, corporazioni, concessioni [</w:t>
      </w:r>
      <w:r w:rsidRPr="00433FC0">
        <w:rPr>
          <w:i/>
        </w:rPr>
        <w:t>charters</w:t>
      </w:r>
      <w:r w:rsidRPr="00433FC0">
        <w:t>] e insediamenti coloniali, operavano in larga misura come «corpi politici per conto proprio» che, giocando un ruolo politico autonomo, contribuivano anch’essi in modo decisivo all’instabilità e alla precarietà del potere politico moderno</w:t>
      </w:r>
      <w:r w:rsidRPr="00433FC0">
        <w:rPr>
          <w:sz w:val="18"/>
          <w:vertAlign w:val="superscript"/>
        </w:rPr>
        <w:footnoteReference w:id="7"/>
      </w:r>
      <w:r w:rsidRPr="00433FC0">
        <w:t xml:space="preserve">. </w:t>
      </w:r>
    </w:p>
    <w:p w:rsidR="00545B3D" w:rsidRPr="00433FC0" w:rsidRDefault="004632E2">
      <w:pPr>
        <w:spacing w:after="3"/>
        <w:ind w:left="-15" w:right="36"/>
      </w:pPr>
      <w:r w:rsidRPr="00433FC0">
        <w:t xml:space="preserve">La «Terra» è invece la risposta con cui questi originari tratti marittimi della politica moderna sono stati contenuti e limitati. Detto altrimenti, in questa prospettiva, la sovranità moderna può essere interpretata come un processo di </w:t>
      </w:r>
      <w:proofErr w:type="spellStart"/>
      <w:r w:rsidRPr="00433FC0">
        <w:rPr>
          <w:i/>
        </w:rPr>
        <w:t>riterritorializzazione</w:t>
      </w:r>
      <w:proofErr w:type="spellEnd"/>
      <w:r w:rsidRPr="00433FC0">
        <w:t xml:space="preserve"> della politica, la riaffermazione su nuove basi della tradizionale centralità (premoderna) di una visione </w:t>
      </w:r>
      <w:proofErr w:type="spellStart"/>
      <w:r w:rsidRPr="00433FC0">
        <w:t>terrocentrica</w:t>
      </w:r>
      <w:proofErr w:type="spellEnd"/>
      <w:r w:rsidRPr="00433FC0">
        <w:t xml:space="preserve"> e statica della politica. Oltretutto, così riconcepita, essa non coincide più esclusivamente con la statualità e assume invece nella sua forma compiuta una natura duale: Stato e potere coloniale, entrambi pensati come logiche politiche </w:t>
      </w:r>
      <w:proofErr w:type="spellStart"/>
      <w:r w:rsidRPr="00433FC0">
        <w:t>terrocentriche</w:t>
      </w:r>
      <w:proofErr w:type="spellEnd"/>
      <w:r w:rsidRPr="00433FC0">
        <w:t xml:space="preserve"> che servono a ordinare il mondo. </w:t>
      </w:r>
    </w:p>
    <w:p w:rsidR="00545B3D" w:rsidRPr="00433FC0" w:rsidRDefault="004632E2">
      <w:pPr>
        <w:ind w:left="-15" w:right="36"/>
      </w:pPr>
      <w:r w:rsidRPr="00433FC0">
        <w:t xml:space="preserve">Due mappe olandesi del XVII secolo ci aiutano a cogliere queste logiche di </w:t>
      </w:r>
      <w:proofErr w:type="spellStart"/>
      <w:r w:rsidRPr="00433FC0">
        <w:t>riterritorializzazione</w:t>
      </w:r>
      <w:proofErr w:type="spellEnd"/>
      <w:r w:rsidRPr="00433FC0">
        <w:t xml:space="preserve"> che motivano la teoria moderna della sovranità. Entrambe intitolate </w:t>
      </w:r>
      <w:r w:rsidRPr="00433FC0">
        <w:rPr>
          <w:i/>
        </w:rPr>
        <w:t xml:space="preserve">Nova </w:t>
      </w:r>
      <w:proofErr w:type="spellStart"/>
      <w:r w:rsidRPr="00433FC0">
        <w:rPr>
          <w:i/>
        </w:rPr>
        <w:t>Totius</w:t>
      </w:r>
      <w:proofErr w:type="spellEnd"/>
      <w:r w:rsidRPr="00433FC0">
        <w:rPr>
          <w:i/>
        </w:rPr>
        <w:t xml:space="preserve"> </w:t>
      </w:r>
      <w:proofErr w:type="spellStart"/>
      <w:r w:rsidRPr="00433FC0">
        <w:rPr>
          <w:i/>
        </w:rPr>
        <w:t>Terrarum</w:t>
      </w:r>
      <w:proofErr w:type="spellEnd"/>
      <w:r w:rsidRPr="00433FC0">
        <w:rPr>
          <w:i/>
        </w:rPr>
        <w:t xml:space="preserve"> Orbis </w:t>
      </w:r>
      <w:proofErr w:type="spellStart"/>
      <w:r w:rsidRPr="00433FC0">
        <w:rPr>
          <w:i/>
        </w:rPr>
        <w:t>Geographica</w:t>
      </w:r>
      <w:proofErr w:type="spellEnd"/>
      <w:r w:rsidRPr="00433FC0">
        <w:rPr>
          <w:i/>
        </w:rPr>
        <w:t xml:space="preserve"> </w:t>
      </w:r>
      <w:proofErr w:type="spellStart"/>
      <w:r w:rsidRPr="00433FC0">
        <w:rPr>
          <w:i/>
        </w:rPr>
        <w:t>ac</w:t>
      </w:r>
      <w:proofErr w:type="spellEnd"/>
      <w:r w:rsidRPr="00433FC0">
        <w:rPr>
          <w:i/>
        </w:rPr>
        <w:t xml:space="preserve"> </w:t>
      </w:r>
      <w:proofErr w:type="spellStart"/>
      <w:r w:rsidRPr="00433FC0">
        <w:rPr>
          <w:i/>
        </w:rPr>
        <w:t>Hydrographica</w:t>
      </w:r>
      <w:proofErr w:type="spellEnd"/>
      <w:r w:rsidRPr="00433FC0">
        <w:rPr>
          <w:i/>
        </w:rPr>
        <w:t xml:space="preserve"> Tabula</w:t>
      </w:r>
      <w:r w:rsidRPr="00433FC0">
        <w:t xml:space="preserve"> esse, come suggerisce il titolo, hanno l’ambizione rivoluzionaria di produrre una «nuova mappa del pianeta», una nuova rappresentazione del mondo, della sua «terra» e del suo «mare». La prima è il planisfero di </w:t>
      </w:r>
      <w:proofErr w:type="spellStart"/>
      <w:r w:rsidRPr="00433FC0">
        <w:t>Claes</w:t>
      </w:r>
      <w:proofErr w:type="spellEnd"/>
      <w:r w:rsidRPr="00433FC0">
        <w:t xml:space="preserve"> </w:t>
      </w:r>
      <w:proofErr w:type="spellStart"/>
      <w:r w:rsidRPr="00433FC0">
        <w:t>Janszoon</w:t>
      </w:r>
      <w:proofErr w:type="spellEnd"/>
      <w:r w:rsidRPr="00433FC0">
        <w:t xml:space="preserve"> de </w:t>
      </w:r>
      <w:proofErr w:type="spellStart"/>
      <w:r w:rsidRPr="00433FC0">
        <w:t>Vissecher</w:t>
      </w:r>
      <w:proofErr w:type="spellEnd"/>
      <w:r w:rsidRPr="00433FC0">
        <w:t xml:space="preserve"> (conosciuto anche come </w:t>
      </w:r>
      <w:proofErr w:type="spellStart"/>
      <w:r w:rsidRPr="00433FC0">
        <w:t>Piscator</w:t>
      </w:r>
      <w:proofErr w:type="spellEnd"/>
      <w:r w:rsidRPr="00433FC0">
        <w:t>), uno dei principali e più celebrati cartografi del XVII secolo. Qui, l’oceano Atlantico non è rappresentato nel tradizionale stile tolemaico come limite del mondo, bordo occidentale di un mondo che è essenzialmente euroasiatico e terrestre. È al contrario il centro stesso della mappa, lo snodo fondamentale di quella rete incredibilmente ampia di comunicazioni che è diventato il mondo. Inoltre, l’Europa – spesso rappresentata nella cartografia medievale e della prima modernità come una regina che governa il mondo conosciuto – è ridotta a una porzione periferica e piuttosto piccola di questo mondo transatlantico tenuto insieme e dominato dal mare</w:t>
      </w:r>
      <w:r w:rsidRPr="00433FC0">
        <w:rPr>
          <w:sz w:val="18"/>
          <w:vertAlign w:val="superscript"/>
        </w:rPr>
        <w:footnoteReference w:id="8"/>
      </w:r>
      <w:r w:rsidRPr="00433FC0">
        <w:t xml:space="preserve">. In realtà, la mappa di </w:t>
      </w:r>
      <w:proofErr w:type="spellStart"/>
      <w:r w:rsidRPr="00433FC0">
        <w:t>Piscator</w:t>
      </w:r>
      <w:proofErr w:type="spellEnd"/>
      <w:r w:rsidRPr="00433FC0">
        <w:t xml:space="preserve"> era meno nuova di quanto il titolo lasciasse intendere, dal momento che era basata sul modello davvero innovativo proposto nel 1570 da </w:t>
      </w:r>
      <w:proofErr w:type="spellStart"/>
      <w:r w:rsidRPr="00433FC0">
        <w:t>Ortelius</w:t>
      </w:r>
      <w:proofErr w:type="spellEnd"/>
      <w:r w:rsidRPr="00433FC0">
        <w:t xml:space="preserve"> con il suo </w:t>
      </w:r>
      <w:r w:rsidRPr="00433FC0">
        <w:rPr>
          <w:i/>
        </w:rPr>
        <w:t xml:space="preserve">Orbis </w:t>
      </w:r>
      <w:proofErr w:type="spellStart"/>
      <w:r w:rsidRPr="00433FC0">
        <w:rPr>
          <w:i/>
        </w:rPr>
        <w:t>Terrarum</w:t>
      </w:r>
      <w:proofErr w:type="spellEnd"/>
      <w:r w:rsidRPr="00433FC0">
        <w:t>. Tuttavia, quel titolo serviva a esprimere la piena consapevolezza di questa nuova e moderna rappresentazione del globo terrestre e della complessità di un mondo che era improvvisamente divenuto «atlantico»</w:t>
      </w:r>
      <w:r w:rsidRPr="00433FC0">
        <w:rPr>
          <w:sz w:val="18"/>
          <w:vertAlign w:val="superscript"/>
        </w:rPr>
        <w:footnoteReference w:id="9"/>
      </w:r>
      <w:r w:rsidRPr="00433FC0">
        <w:t xml:space="preserve">. </w:t>
      </w:r>
    </w:p>
    <w:p w:rsidR="00545B3D" w:rsidRPr="00433FC0" w:rsidRDefault="004632E2">
      <w:pPr>
        <w:ind w:left="-15" w:right="36"/>
      </w:pPr>
      <w:r w:rsidRPr="00433FC0">
        <w:t xml:space="preserve">Lo stesso vale per l’altra </w:t>
      </w:r>
      <w:r w:rsidRPr="00433FC0">
        <w:rPr>
          <w:i/>
        </w:rPr>
        <w:t xml:space="preserve">Nova </w:t>
      </w:r>
      <w:proofErr w:type="spellStart"/>
      <w:r w:rsidRPr="00433FC0">
        <w:rPr>
          <w:i/>
        </w:rPr>
        <w:t>Totius</w:t>
      </w:r>
      <w:proofErr w:type="spellEnd"/>
      <w:r w:rsidRPr="00433FC0">
        <w:rPr>
          <w:i/>
        </w:rPr>
        <w:t xml:space="preserve"> </w:t>
      </w:r>
      <w:proofErr w:type="spellStart"/>
      <w:r w:rsidRPr="00433FC0">
        <w:rPr>
          <w:i/>
        </w:rPr>
        <w:t>Terrarim</w:t>
      </w:r>
      <w:proofErr w:type="spellEnd"/>
      <w:r w:rsidRPr="00433FC0">
        <w:rPr>
          <w:i/>
        </w:rPr>
        <w:t xml:space="preserve"> Orbis</w:t>
      </w:r>
      <w:r w:rsidRPr="00433FC0">
        <w:t xml:space="preserve">, disegnata nel 1630 da </w:t>
      </w:r>
      <w:proofErr w:type="spellStart"/>
      <w:r w:rsidRPr="00433FC0">
        <w:t>Hendrik</w:t>
      </w:r>
      <w:proofErr w:type="spellEnd"/>
      <w:r w:rsidRPr="00433FC0">
        <w:t xml:space="preserve"> </w:t>
      </w:r>
      <w:proofErr w:type="spellStart"/>
      <w:r w:rsidRPr="00433FC0">
        <w:t>Hondius</w:t>
      </w:r>
      <w:proofErr w:type="spellEnd"/>
      <w:r w:rsidRPr="00433FC0">
        <w:t xml:space="preserve">. Benché non fosse la prima mappa basata su una proiezione a doppio emisfero – si pensi ad esempio all’ </w:t>
      </w:r>
      <w:r w:rsidRPr="00433FC0">
        <w:rPr>
          <w:i/>
        </w:rPr>
        <w:t xml:space="preserve">Orbis </w:t>
      </w:r>
      <w:proofErr w:type="spellStart"/>
      <w:r w:rsidRPr="00433FC0">
        <w:rPr>
          <w:i/>
        </w:rPr>
        <w:t>Terrae</w:t>
      </w:r>
      <w:proofErr w:type="spellEnd"/>
      <w:r w:rsidRPr="00433FC0">
        <w:t xml:space="preserve"> di </w:t>
      </w:r>
      <w:proofErr w:type="spellStart"/>
      <w:r w:rsidRPr="00433FC0">
        <w:t>Rumold</w:t>
      </w:r>
      <w:proofErr w:type="spellEnd"/>
      <w:r w:rsidRPr="00433FC0">
        <w:t xml:space="preserve"> Mercator (1587) – essa è diventata rapidamente un modello per un’intera generazione di cartografi. Qui la terra è chiaramente divisa in due mondi, il vecchio e il nuovo, che si fronteggiano come uguali. Grazie all’incorporazione nel vecchio mondo dell’antico competitore, e in certi casi nemico, orientale (Asia e paesi </w:t>
      </w:r>
      <w:r w:rsidRPr="00433FC0">
        <w:lastRenderedPageBreak/>
        <w:t>musulmani), l’Europa è però di nuovo una grande potenza. E, fatto ancora più rilevante, la centralità dell’Atlantico è scomparsa, diviso e messo in ombra dai due giganteschi spazi terrestri dell’Europa e del mondo coloniale</w:t>
      </w:r>
      <w:r w:rsidRPr="00433FC0">
        <w:rPr>
          <w:sz w:val="18"/>
          <w:vertAlign w:val="superscript"/>
        </w:rPr>
        <w:footnoteReference w:id="10"/>
      </w:r>
      <w:r w:rsidRPr="00433FC0">
        <w:t xml:space="preserve">. </w:t>
      </w:r>
    </w:p>
    <w:p w:rsidR="00545B3D" w:rsidRPr="00433FC0" w:rsidRDefault="004632E2">
      <w:pPr>
        <w:spacing w:after="473"/>
        <w:ind w:left="-15" w:right="36"/>
      </w:pPr>
      <w:r w:rsidRPr="00433FC0">
        <w:t xml:space="preserve">Attraverso la lettura di alcune pagine del </w:t>
      </w:r>
      <w:r w:rsidRPr="00433FC0">
        <w:rPr>
          <w:i/>
        </w:rPr>
        <w:t>Leviatano</w:t>
      </w:r>
      <w:r w:rsidRPr="00433FC0">
        <w:t xml:space="preserve"> di Hobbes e del </w:t>
      </w:r>
      <w:r w:rsidRPr="00433FC0">
        <w:rPr>
          <w:i/>
        </w:rPr>
        <w:t>Secondo trattato</w:t>
      </w:r>
      <w:r w:rsidRPr="00433FC0">
        <w:t xml:space="preserve"> di Locke è possibile mostrare come, da una prospettiva spaziale, il pieno affermarsi delle logiche della sovranità moderna corrisponda all’affermazione della rappresentazione del mondo di </w:t>
      </w:r>
      <w:proofErr w:type="spellStart"/>
      <w:r w:rsidRPr="00433FC0">
        <w:t>Hondius</w:t>
      </w:r>
      <w:proofErr w:type="spellEnd"/>
      <w:r w:rsidRPr="00433FC0">
        <w:t xml:space="preserve"> su quella di </w:t>
      </w:r>
      <w:proofErr w:type="spellStart"/>
      <w:r w:rsidRPr="00433FC0">
        <w:t>Ortelius</w:t>
      </w:r>
      <w:proofErr w:type="spellEnd"/>
      <w:r w:rsidRPr="00433FC0">
        <w:t xml:space="preserve"> e di </w:t>
      </w:r>
      <w:proofErr w:type="spellStart"/>
      <w:r w:rsidRPr="00433FC0">
        <w:t>Piscator</w:t>
      </w:r>
      <w:proofErr w:type="spellEnd"/>
      <w:r w:rsidRPr="00433FC0">
        <w:t xml:space="preserve">, lo sforzo titanico del pensiero politico europeo di contenere e superare la sensazione di spiazzamento o, nei termini di </w:t>
      </w:r>
      <w:proofErr w:type="spellStart"/>
      <w:r w:rsidRPr="00433FC0">
        <w:t>Deleuze</w:t>
      </w:r>
      <w:proofErr w:type="spellEnd"/>
      <w:r w:rsidRPr="00433FC0">
        <w:t xml:space="preserve"> e </w:t>
      </w:r>
      <w:proofErr w:type="spellStart"/>
      <w:r w:rsidRPr="00433FC0">
        <w:t>Guattari</w:t>
      </w:r>
      <w:proofErr w:type="spellEnd"/>
      <w:r w:rsidRPr="00433FC0">
        <w:t>, di «deterritorializzazione» della politica causata dalla scoperta inquietante del suo movimento naturale</w:t>
      </w:r>
      <w:r w:rsidRPr="00433FC0">
        <w:rPr>
          <w:sz w:val="18"/>
          <w:vertAlign w:val="superscript"/>
        </w:rPr>
        <w:footnoteReference w:id="11"/>
      </w:r>
      <w:r w:rsidRPr="00433FC0">
        <w:t xml:space="preserve">. Due fondamentali strategie teoriche caratterizzano questo processo di </w:t>
      </w:r>
      <w:proofErr w:type="spellStart"/>
      <w:r w:rsidRPr="00433FC0">
        <w:t>riterritorializzazione</w:t>
      </w:r>
      <w:proofErr w:type="spellEnd"/>
      <w:r w:rsidRPr="00433FC0">
        <w:t xml:space="preserve"> della politica. La prima, e più celebre, è il contrattualismo, l’idea rivoluzionaria che la politica sia il prodotto artificiale di un libero accordo tra eguali, capace di trasformare un mondo naturalmente selvaggio e disordinato in uno spazio politico sovrano. L’altra strategia, che costituisce il contributo spaziale più originale fornito da Locke alla teoria politica moderna, è la divisione del mondo in due spazi governati ognuno da una propria logica, quello selvaggio e conflittuale del mondo coloniale e quello ordinato e civilizzato del sistema europeo degli Stati sovrani. </w:t>
      </w:r>
    </w:p>
    <w:p w:rsidR="00545B3D" w:rsidRPr="00433FC0" w:rsidRDefault="004632E2">
      <w:pPr>
        <w:pStyle w:val="Titolo2"/>
        <w:ind w:left="-5"/>
        <w:rPr>
          <w:rFonts w:ascii="Times New Roman" w:hAnsi="Times New Roman" w:cs="Times New Roman"/>
        </w:rPr>
      </w:pPr>
      <w:r w:rsidRPr="00433FC0">
        <w:rPr>
          <w:rFonts w:ascii="Times New Roman" w:hAnsi="Times New Roman" w:cs="Times New Roman"/>
        </w:rPr>
        <w:t>2. Il contrattualismo come strategia spaziale</w:t>
      </w:r>
    </w:p>
    <w:p w:rsidR="00545B3D" w:rsidRPr="00433FC0" w:rsidRDefault="004632E2">
      <w:pPr>
        <w:ind w:left="-15" w:right="36" w:firstLine="0"/>
      </w:pPr>
      <w:r w:rsidRPr="00433FC0">
        <w:t>La storiografia recente ha mostrato come le guerre civili inglesi – lo sfondo storico su cui i padri della teoria moderna della sovranità hanno lavorato – siano state più che meramente inglesi o nazionali, coinvolgendo invece in un unico teatro di conflitto anche i nuovi territori delle Americhe e dei Caraibi</w:t>
      </w:r>
      <w:r w:rsidRPr="00433FC0">
        <w:rPr>
          <w:sz w:val="18"/>
          <w:vertAlign w:val="superscript"/>
        </w:rPr>
        <w:footnoteReference w:id="12"/>
      </w:r>
      <w:r w:rsidRPr="00433FC0">
        <w:t>. Similmente, grande attenzione è stata data negli ultimi anni agli interessi coloniali di Locke in America, sottolineando la stretta connessione esistente tra liberalismo e colonialismo</w:t>
      </w:r>
      <w:r w:rsidRPr="00433FC0">
        <w:rPr>
          <w:sz w:val="18"/>
          <w:vertAlign w:val="superscript"/>
        </w:rPr>
        <w:footnoteReference w:id="13"/>
      </w:r>
      <w:r w:rsidRPr="00433FC0">
        <w:t>. Tuttavia, anche quella di Hobbes è per molti versi una biografia atlantica. Fin dal 1619, grazie al suo mentore Lord Cavendish, egli era stato infatti intimamente coinvolto negli affari delle Compagnie della Virginia e delle Bermuda, anche svolgendo mansioni amministrative, come quella di rispondere alle lettere di lamentela dei coloni, prima di diventare egli stesso azionista della Compagnia della Virginia</w:t>
      </w:r>
      <w:r w:rsidRPr="00433FC0">
        <w:rPr>
          <w:sz w:val="18"/>
          <w:vertAlign w:val="superscript"/>
        </w:rPr>
        <w:footnoteReference w:id="14"/>
      </w:r>
      <w:r w:rsidRPr="00433FC0">
        <w:t xml:space="preserve">. Benché rari, i riflessi di questa esperienza atlantica non mancano nelle sue opere. Ad esempio, nel frontespizio del </w:t>
      </w:r>
      <w:r w:rsidRPr="00433FC0">
        <w:rPr>
          <w:i/>
        </w:rPr>
        <w:t>De cive</w:t>
      </w:r>
      <w:r w:rsidRPr="00433FC0">
        <w:t xml:space="preserve">: qui la </w:t>
      </w:r>
      <w:r w:rsidRPr="00433FC0">
        <w:rPr>
          <w:i/>
        </w:rPr>
        <w:t>Libertas</w:t>
      </w:r>
      <w:r w:rsidRPr="00433FC0">
        <w:t xml:space="preserve"> ha la forma di un guerriero nativo americano smunto e sudicio a cui si contrappone l’</w:t>
      </w:r>
      <w:r w:rsidRPr="00433FC0">
        <w:rPr>
          <w:i/>
        </w:rPr>
        <w:t>Imperium</w:t>
      </w:r>
      <w:r w:rsidRPr="00433FC0">
        <w:t>, significativamente rappresentato come una regina (europea) con spada e bilancia. Se questa immagine vuole sottolineare la precarietà della libertà naturale e la necessità dunque di abbandonarla, essa rappresenta però allo stesso modo l’esercizio incerto e precario del potere politico per effetto dell’irruzione selvaggia della libertà nelle relazioni umane. La sovranità dello Stato, sappiamo, sarà la risposta di Hobbes a questo problema: come in uno dei loghi ufficiali della Compagnia delle Bermuda, essa emerge come la forza erculea capace di domare le acque turbinose della politica</w:t>
      </w:r>
      <w:r w:rsidRPr="00433FC0">
        <w:rPr>
          <w:sz w:val="18"/>
          <w:vertAlign w:val="superscript"/>
        </w:rPr>
        <w:footnoteReference w:id="15"/>
      </w:r>
      <w:r w:rsidRPr="00433FC0">
        <w:t>, che, tuttavia, è bene sottolinearlo, sopravvivono a essa e sono anzi parte del suo stesso corpo</w:t>
      </w:r>
      <w:r w:rsidRPr="00433FC0">
        <w:rPr>
          <w:sz w:val="18"/>
          <w:vertAlign w:val="superscript"/>
        </w:rPr>
        <w:footnoteReference w:id="16"/>
      </w:r>
      <w:r w:rsidRPr="00433FC0">
        <w:t xml:space="preserve">. </w:t>
      </w:r>
    </w:p>
    <w:p w:rsidR="00545B3D" w:rsidRPr="00433FC0" w:rsidRDefault="004632E2">
      <w:pPr>
        <w:spacing w:after="199"/>
        <w:ind w:left="-15" w:right="36"/>
      </w:pPr>
      <w:r w:rsidRPr="00433FC0">
        <w:t xml:space="preserve">Similmente, nel </w:t>
      </w:r>
      <w:r w:rsidRPr="00433FC0">
        <w:rPr>
          <w:i/>
        </w:rPr>
        <w:t>Leviatano</w:t>
      </w:r>
      <w:r w:rsidRPr="00433FC0">
        <w:t xml:space="preserve"> il carattere puramente astratto e teorico della descrizione hobbesiana dello stato di natura è interrotto soltanto in un caso, quando l’America è usata come esempio della condizione attuale dell’umanità. </w:t>
      </w:r>
    </w:p>
    <w:p w:rsidR="00545B3D" w:rsidRPr="00433FC0" w:rsidRDefault="004632E2">
      <w:pPr>
        <w:spacing w:after="267" w:line="224" w:lineRule="auto"/>
        <w:ind w:left="335" w:right="320" w:hanging="10"/>
      </w:pPr>
      <w:r w:rsidRPr="00433FC0">
        <w:rPr>
          <w:sz w:val="18"/>
        </w:rPr>
        <w:t>Si può per avventura pensare che non vi sia mai stato un tempo né una condizione di guerra come questa, e io credo non ci sia mai stata generalmente in tutto il mondo, ma ci sono parecchi luoghi in cui attualmente si vive così. Infatti in parecchi luoghi dell’America, i selvaggi, se si eccettua il governo di piccole famiglie la cui concordia dipende dalla concupiscenza naturale, non hanno affatto un governo e vivono, oggigiorno, in quella maniera brutale che ho detto prima. Comunque, si può percepire quale maniera di vita ci sarebbe ove non ci fosse il timore di un potere comune, dalla maniera di vita in cui sono usi degenerare gli uomini che già hanno vissuto sotto un governo pacifico, una guerra civile</w:t>
      </w:r>
      <w:r w:rsidRPr="00433FC0">
        <w:rPr>
          <w:sz w:val="16"/>
          <w:vertAlign w:val="superscript"/>
        </w:rPr>
        <w:footnoteReference w:id="17"/>
      </w:r>
      <w:r w:rsidRPr="00433FC0">
        <w:rPr>
          <w:sz w:val="18"/>
        </w:rPr>
        <w:t xml:space="preserve">. </w:t>
      </w:r>
    </w:p>
    <w:p w:rsidR="00545B3D" w:rsidRPr="00433FC0" w:rsidRDefault="004632E2">
      <w:pPr>
        <w:spacing w:after="199"/>
        <w:ind w:left="-15" w:right="36"/>
      </w:pPr>
      <w:r w:rsidRPr="00433FC0">
        <w:lastRenderedPageBreak/>
        <w:t>Vale la pena notare come, sebbene assuma l’opinione diffusa nell’Europa della prima età moderna sull’inciviltà degli americani</w:t>
      </w:r>
      <w:r w:rsidRPr="00433FC0">
        <w:rPr>
          <w:sz w:val="18"/>
          <w:vertAlign w:val="superscript"/>
        </w:rPr>
        <w:footnoteReference w:id="18"/>
      </w:r>
      <w:r w:rsidRPr="00433FC0">
        <w:t xml:space="preserve">, il discorso di Hobbes non sottintende però alcuna reale superiorità da parte degli europei. Piuttosto, l’America è per Hobbes l’immagine della condizione presente, miserabile e incivile, dell’intera umanità. Se gli europei vogliono davvero essere all’altezza della loro presunta superiore civiltà, essi devono agire razionalmente e sottomettersi dunque ai poteri politici esistenti (cioè agli Stati territoriali) come se questi fossero il prodotto artificiale di un libero accordo tra individui naturalmente uguali. Ciò vale tanto per il </w:t>
      </w:r>
      <w:r w:rsidRPr="00433FC0">
        <w:rPr>
          <w:i/>
        </w:rPr>
        <w:t xml:space="preserve">bellum omnium contra </w:t>
      </w:r>
      <w:proofErr w:type="spellStart"/>
      <w:r w:rsidRPr="00433FC0">
        <w:rPr>
          <w:i/>
        </w:rPr>
        <w:t>omnes</w:t>
      </w:r>
      <w:proofErr w:type="spellEnd"/>
      <w:r w:rsidRPr="00433FC0">
        <w:t xml:space="preserve"> interno, quanto per le attività commerciali </w:t>
      </w:r>
      <w:r w:rsidRPr="00433FC0">
        <w:rPr>
          <w:i/>
        </w:rPr>
        <w:t>offshore</w:t>
      </w:r>
      <w:r w:rsidRPr="00433FC0">
        <w:t xml:space="preserve">. </w:t>
      </w:r>
    </w:p>
    <w:p w:rsidR="00545B3D" w:rsidRPr="00433FC0" w:rsidRDefault="004632E2">
      <w:pPr>
        <w:spacing w:after="267" w:line="224" w:lineRule="auto"/>
        <w:ind w:left="335" w:right="320" w:hanging="10"/>
      </w:pPr>
      <w:r w:rsidRPr="00433FC0">
        <w:rPr>
          <w:sz w:val="18"/>
        </w:rPr>
        <w:t>In tale condizione non c’è posto per l’industria, perché il frutto di essa è incerto, e per conseguenza non v’è cultura della terra, né navigazione, né uso dei prodotti che si possono importare per mare, né comodi edifici, né macchine per muovere e trasportare cose che richiedono molta forza, né conoscenza della faccia della terra, né calcolo del tempo, né arti, né lettere, né società e, quel che è peggio di tutto, v’è continuo timore e pericolo di morte violenta, e la vita dell’uomo è solitaria, misera, sgradevole, brutale e breve</w:t>
      </w:r>
      <w:r w:rsidRPr="00433FC0">
        <w:rPr>
          <w:sz w:val="16"/>
          <w:vertAlign w:val="superscript"/>
        </w:rPr>
        <w:footnoteReference w:id="19"/>
      </w:r>
      <w:r w:rsidRPr="00433FC0">
        <w:rPr>
          <w:sz w:val="18"/>
        </w:rPr>
        <w:t xml:space="preserve">. </w:t>
      </w:r>
    </w:p>
    <w:p w:rsidR="00545B3D" w:rsidRPr="00433FC0" w:rsidRDefault="004632E2" w:rsidP="001702D4">
      <w:pPr>
        <w:spacing w:after="348"/>
        <w:ind w:left="-15" w:right="36"/>
      </w:pPr>
      <w:r w:rsidRPr="00433FC0">
        <w:t xml:space="preserve">La «condizione» descritta da Hobbes fa eco chiaramente, invertendola, a quella immaginata da Gonzalo nel suo discorso utopistico nella </w:t>
      </w:r>
      <w:r w:rsidRPr="00433FC0">
        <w:rPr>
          <w:i/>
        </w:rPr>
        <w:t>Tempesta</w:t>
      </w:r>
      <w:r w:rsidRPr="00433FC0">
        <w:t>, il dramma shakespeariano ispirato dal disastro del vascello inglese Sea Venture nelle Bermuda</w:t>
      </w:r>
      <w:r w:rsidRPr="00433FC0">
        <w:rPr>
          <w:sz w:val="18"/>
          <w:vertAlign w:val="superscript"/>
        </w:rPr>
        <w:footnoteReference w:id="20"/>
      </w:r>
      <w:r w:rsidRPr="00433FC0">
        <w:t xml:space="preserve">. Sappiamo che la fonte di ispirazione di questo discorso era stata per Shakespeare la descrizione idilliaca degli indigeni brasiliani fatta da </w:t>
      </w:r>
      <w:proofErr w:type="spellStart"/>
      <w:r w:rsidRPr="00433FC0">
        <w:t>Montaigne</w:t>
      </w:r>
      <w:proofErr w:type="spellEnd"/>
      <w:r w:rsidRPr="00433FC0">
        <w:t xml:space="preserve"> nel suo famoso saggio del 1580 </w:t>
      </w:r>
      <w:r w:rsidRPr="00433FC0">
        <w:rPr>
          <w:i/>
        </w:rPr>
        <w:t>Sui cannibali</w:t>
      </w:r>
      <w:r w:rsidRPr="00433FC0">
        <w:rPr>
          <w:sz w:val="18"/>
          <w:vertAlign w:val="superscript"/>
        </w:rPr>
        <w:footnoteReference w:id="21"/>
      </w:r>
      <w:r w:rsidRPr="00433FC0">
        <w:t>. Per Hobbes, tuttavia, non vi è alcuna possibilità che il capitalismo sia «nobile e selvaggio»: nonostante «l’importazione di ciò che si può avere dall’estero con lo scambio, o con una giusta guerra, o con il lavoro»</w:t>
      </w:r>
      <w:r w:rsidR="00433FC0">
        <w:rPr>
          <w:rStyle w:val="Rimandonotaapidipagina"/>
        </w:rPr>
        <w:footnoteReference w:id="22"/>
      </w:r>
      <w:r w:rsidRPr="00433FC0">
        <w:t xml:space="preserve"> sia per lui parte essenziale della «nutrizione e procreazione dello Stato», la «smodata grandezza» di alcune fra quel «gran numero di corporazioni» che operavano nel commercio coloniale – la loro sempre maggior indipendenza e il loro crescente potere – può essere un serio motivo di «infermità dello Stato», «come vermi negli intestini di un uomo naturale»</w:t>
      </w:r>
      <w:r w:rsidRPr="00433FC0">
        <w:rPr>
          <w:sz w:val="18"/>
          <w:vertAlign w:val="superscript"/>
        </w:rPr>
        <w:footnoteReference w:id="23"/>
      </w:r>
      <w:r w:rsidRPr="00433FC0">
        <w:t xml:space="preserve">. Solo l’«arte» della legge e della sovranità statale può rendere queste corporazioni e i loro affari diversi da altre attività marittime «criminali», come la pirateria, l’ammutinamento, e tutte le altre forme di resistenza alla colonizzazione e dentro di essa. Quello che le rende legittime è, in altri termini, la loro «incorporazione» in quel grande corpo politico che è lo Stato. </w:t>
      </w:r>
    </w:p>
    <w:p w:rsidR="00545B3D" w:rsidRPr="00433FC0" w:rsidRDefault="004632E2">
      <w:pPr>
        <w:ind w:left="-15" w:right="36"/>
      </w:pPr>
      <w:r w:rsidRPr="00433FC0">
        <w:t xml:space="preserve">La sovranità statale è dunque per Hobbes la condizione di possibilità dello sviluppo capitalistico marittimo e, più in generale, l’unico modo per creare ordine in un mondo divenuto atlantico (da intendere qui come l’epitome spaziale delle più ampie rotte commerciali e coloniali del nascente capitalismo globale). In termini più direttamente spaziali: sappiamo dal frontespizio del </w:t>
      </w:r>
      <w:r w:rsidRPr="00433FC0">
        <w:rPr>
          <w:i/>
        </w:rPr>
        <w:t>Leviatano</w:t>
      </w:r>
      <w:r w:rsidRPr="00433FC0">
        <w:t xml:space="preserve"> che la sovranità è in ultima analisi un confine, la decisione che traccia il perimetro tra due gruppi di individui o, in altri termini, la linea artificiale che definisce e rende possibile l’esistenza di un popolo e la sua convivenza pacifica. Benché basata sul modello del sistema europeo delle relazioni internazionali, questa logica opera concettualmente su una scala planetaria, facendo dell’intero globo uno spazio interamente popolato da Stati sovrani. Certo, Hobbes era ben consapevole delle difficoltà di applicare universalmente il modello contrattualista. Infatti, egli distingue tra «sovranità per istituzione» (creata attraverso l’accordo di tutti), e «sovranità per acquisizione» (creata attraverso l’imposizione della forza, la conquista). Queste due origini del potere non implicano però una loro differenza qualitativa. I diritti e le conseguenze della sovranità sono gli stessi: sia lo Stato per istituzione sia quello per acquisizione si fondano su una servitù volontaria, dal momento che non è la vittoria a dare al conquistatore il diritto sul conquistato, ma il «patto» che segue la conquista, con il quale il vinto si consegna e si sottomette al vincitore, riconoscendo il suo potere e autorizzando tutte le sue azioni in cambio della sopravvivenza</w:t>
      </w:r>
      <w:r w:rsidRPr="00433FC0">
        <w:rPr>
          <w:sz w:val="18"/>
          <w:vertAlign w:val="superscript"/>
        </w:rPr>
        <w:footnoteReference w:id="24"/>
      </w:r>
      <w:r w:rsidRPr="00433FC0">
        <w:t xml:space="preserve">. </w:t>
      </w:r>
    </w:p>
    <w:p w:rsidR="00545B3D" w:rsidRPr="00433FC0" w:rsidRDefault="004632E2">
      <w:pPr>
        <w:spacing w:after="198"/>
        <w:ind w:left="-15" w:right="36"/>
      </w:pPr>
      <w:r w:rsidRPr="00433FC0">
        <w:t xml:space="preserve">Così come la libertà può essere esercitata dopo la creazione del Leviatano solo «nel silenzio della legge», similmente si può dire che, dopo il patto, la molteplicità degli attori (pubblici o privati) e dei centri di potere che vivono e circolano liberamente nel nuovo spazio politico globale viene fagocitata dalla forma-Stato, riassorbita nelle sue logiche </w:t>
      </w:r>
      <w:proofErr w:type="spellStart"/>
      <w:r w:rsidRPr="00433FC0">
        <w:t>terrocentriche</w:t>
      </w:r>
      <w:proofErr w:type="spellEnd"/>
      <w:r w:rsidRPr="00433FC0">
        <w:t xml:space="preserve"> come proiezioni esterne della sua sovranità. Tali attori continuano a esistere, ma non sono più fonte di instabilità. Divengono ora ciò che Hobbes chiama «sistemi soggetti», «corpi politici» subordinati allo Stato: «la varietà dei corpi politici», Hobbes spiega nel capitolo XXII del </w:t>
      </w:r>
      <w:r w:rsidRPr="00433FC0">
        <w:rPr>
          <w:i/>
        </w:rPr>
        <w:t>Leviatano</w:t>
      </w:r>
      <w:r w:rsidRPr="00433FC0">
        <w:t>, «è quasi infinita, poiché essi non si distinguono solo per i diversi affari per i quali sono costituiti, in cui c’è una indicibile diversità, ma anche per il tempo, il luogo, il numero, cose soggette a molte limitazioni»</w:t>
      </w:r>
      <w:r w:rsidRPr="00433FC0">
        <w:rPr>
          <w:sz w:val="18"/>
          <w:vertAlign w:val="superscript"/>
        </w:rPr>
        <w:footnoteReference w:id="25"/>
      </w:r>
      <w:r w:rsidRPr="00433FC0">
        <w:t xml:space="preserve">. Un tipico esempio di questi numerosi sistemi soggetti è «il governo delle province», dove la parola «provincia» indica per Hobbes </w:t>
      </w:r>
    </w:p>
    <w:p w:rsidR="00545B3D" w:rsidRPr="00433FC0" w:rsidRDefault="004632E2">
      <w:pPr>
        <w:spacing w:after="267" w:line="224" w:lineRule="auto"/>
        <w:ind w:left="335" w:right="320" w:hanging="10"/>
      </w:pPr>
      <w:r w:rsidRPr="00433FC0">
        <w:rPr>
          <w:sz w:val="18"/>
        </w:rPr>
        <w:lastRenderedPageBreak/>
        <w:t>una carica o una cura di affari che colui al quale quell’affare compete, affida a un altro uomo perché sia amministrato per e sotto di lui; perciò quando in uno Stato ci sono diversi paesi con leggi distinte o molto distanti le une dalle altre, e l’amministrazione del governo è affidata a diverse persone, quei paesi, in cui il sovrano non risiede, ma governa per mandato, sono chiamate province</w:t>
      </w:r>
      <w:r w:rsidRPr="00433FC0">
        <w:rPr>
          <w:sz w:val="16"/>
          <w:vertAlign w:val="superscript"/>
        </w:rPr>
        <w:footnoteReference w:id="26"/>
      </w:r>
      <w:r w:rsidRPr="00433FC0">
        <w:rPr>
          <w:sz w:val="18"/>
        </w:rPr>
        <w:t>.</w:t>
      </w:r>
    </w:p>
    <w:p w:rsidR="00545B3D" w:rsidRPr="00433FC0" w:rsidRDefault="004632E2">
      <w:pPr>
        <w:spacing w:after="3"/>
        <w:ind w:left="-15" w:right="36"/>
      </w:pPr>
      <w:r w:rsidRPr="00433FC0">
        <w:t>Ciò accade anche per due specifiche forme di provincia tipiche del nuovo mondo, gli insediamenti e le colonie, definite da Hobbes come «un certo numero di uomini inviati dallo Stato, sotto la guida di un capo o un governatore, ad abitare un paese straniero, privo di abitanti in precedenza o privato di essi in quella circostanza per mezzo della guerra»</w:t>
      </w:r>
      <w:r w:rsidRPr="00433FC0">
        <w:rPr>
          <w:sz w:val="18"/>
          <w:vertAlign w:val="superscript"/>
        </w:rPr>
        <w:footnoteReference w:id="27"/>
      </w:r>
      <w:r w:rsidRPr="00433FC0">
        <w:t>, il cui diritto e la cui autorità «dipende interamente dalla licenza o dalle lettere con le quali il sovrano ha autorizzato il loro insediamento»</w:t>
      </w:r>
      <w:r w:rsidRPr="00433FC0">
        <w:rPr>
          <w:sz w:val="18"/>
          <w:vertAlign w:val="superscript"/>
        </w:rPr>
        <w:footnoteReference w:id="28"/>
      </w:r>
      <w:r w:rsidRPr="00433FC0">
        <w:t xml:space="preserve">, oppure in quanto «procreazione o figli dello Stato», dal momento che esse operano come funzioni subordinate della sovranità (statale). </w:t>
      </w:r>
    </w:p>
    <w:p w:rsidR="00545B3D" w:rsidRDefault="004632E2">
      <w:pPr>
        <w:ind w:left="-15" w:right="36"/>
      </w:pPr>
      <w:r w:rsidRPr="00433FC0">
        <w:t xml:space="preserve">All’ombra del Leviatano, l’Europa è dunque di nuovo regina del mondo, capace di sussumere sotto la sua logica </w:t>
      </w:r>
      <w:proofErr w:type="spellStart"/>
      <w:r w:rsidRPr="00433FC0">
        <w:t>terrocentrica</w:t>
      </w:r>
      <w:proofErr w:type="spellEnd"/>
      <w:r w:rsidRPr="00433FC0">
        <w:t xml:space="preserve"> l’oceano e tutti i territori coloniali. Il nuovo spazio politico atlantico è governato da un’unica logica politica, quella europea della sovranità statuale: nello stesso momento in cui sono creati, i confini degli Stati sovrani europei, con la loro capacità di neutralizzare l’acquaticità plurale e intrinsecamente politica della società, estendono infatti se stessi fuori dai loro limiti territoriali attraverso l’azione delle loro articolazioni extraterritoriali. In un simile scenario, il Mare ritorna a essere politicamente irrilevante, un mero elemento geografico in un mondo fatto di Terra (Stati sovrani), nel quale la fluidità e l’instabilità naturale della società è stata finalmente neutralizzata. In termini cartografici, a questa concezione della sovranità corrisponderebbe una mappa «tubolare» dello spazio atlantico, che lega oceani e terraferma attraverso le rotte oceaniche privilegiate dalle singole potenze europee per le loro attività commerciali e coloniali</w:t>
      </w:r>
      <w:r w:rsidRPr="00433FC0">
        <w:rPr>
          <w:sz w:val="18"/>
          <w:vertAlign w:val="superscript"/>
        </w:rPr>
        <w:footnoteReference w:id="29"/>
      </w:r>
      <w:r w:rsidRPr="00433FC0">
        <w:t xml:space="preserve">. </w:t>
      </w:r>
    </w:p>
    <w:p w:rsidR="00433FC0" w:rsidRPr="00433FC0" w:rsidRDefault="00433FC0">
      <w:pPr>
        <w:ind w:left="-15" w:right="36"/>
      </w:pPr>
    </w:p>
    <w:p w:rsidR="00545B3D" w:rsidRPr="00433FC0" w:rsidRDefault="004632E2">
      <w:pPr>
        <w:pStyle w:val="Titolo2"/>
        <w:ind w:left="-5"/>
        <w:rPr>
          <w:rFonts w:ascii="Times New Roman" w:hAnsi="Times New Roman" w:cs="Times New Roman"/>
        </w:rPr>
      </w:pPr>
      <w:r w:rsidRPr="00433FC0">
        <w:rPr>
          <w:rFonts w:ascii="Times New Roman" w:hAnsi="Times New Roman" w:cs="Times New Roman"/>
        </w:rPr>
        <w:t>3. Sovranità duale</w:t>
      </w:r>
    </w:p>
    <w:p w:rsidR="00545B3D" w:rsidRPr="00433FC0" w:rsidRDefault="004632E2">
      <w:pPr>
        <w:spacing w:after="199"/>
        <w:ind w:left="-15" w:right="36" w:firstLine="0"/>
      </w:pPr>
      <w:r w:rsidRPr="00433FC0">
        <w:t>Naturalmente, nella realtà le cose erano molto più complesse e spurie di quanto teorizzato da Hobbes. I diversi attori, pubblici e privati, astrattamente sussunti sotto la sovranità dello Stato continuavano infatti a operare in larga parte «per conto proprio», esercitando in certi casi anche funzioni sovrane, come nel già citato caso della Compagnia delle Indie Orientali, che stringeva accordi politici e militari con i sovrani indiani spesso senza previa autorizzazione della Corona, o, all’interno del suolo inglese, la città di Londra, con i suoi ripetuti tentativi di erigere un suo esercito indipendente. E d’altra parte, anche quegli attori atlantici che si è soliti collocare nel polo opposto alla sovranità, espressione di una concezione selvaggia e fuorilegge della libertà, i pirati, quando catturati e posti sotto processo, finivano spesso per rivendicare la legittimità giuridica della loro azione in virtù di un presunto mandato ricevuto da un qualche sovrano europeo; così che, insomma, nella sua esistenza concreta, lo spazio atlantico appariva meno governato dalla logica hobbesiana della sovranità statuale e più il teatro di una negoziazione continua e conflittuale tra una pluralità di attori</w:t>
      </w:r>
      <w:r w:rsidRPr="00433FC0">
        <w:rPr>
          <w:sz w:val="18"/>
          <w:vertAlign w:val="superscript"/>
        </w:rPr>
        <w:footnoteReference w:id="30"/>
      </w:r>
      <w:r w:rsidRPr="00433FC0">
        <w:t xml:space="preserve">. Per ridurre, almeno parzialmente, lo scollamento tra la teoria e l’esercizio effettivo della sovranità, Locke ridefinisce la strategia hobbesiana di </w:t>
      </w:r>
      <w:proofErr w:type="spellStart"/>
      <w:r w:rsidRPr="00433FC0">
        <w:t>riterritorializzazione</w:t>
      </w:r>
      <w:proofErr w:type="spellEnd"/>
      <w:r w:rsidRPr="00433FC0">
        <w:t xml:space="preserve"> della politica secondo una logica che non è più monistica, bensì duale – fondata cioè sulla differenziazione del mondo atlantico in due spazi politici qualitativamente differenti –, pur mantenendo l’obiettivo «hobbesiano» di mostrare l’effettiva convenienza e razionalità delle logiche della sovranità statuale. Possiamo trovare questa strategia all’opera nel XVI capitolo del </w:t>
      </w:r>
      <w:r w:rsidRPr="00433FC0">
        <w:rPr>
          <w:i/>
        </w:rPr>
        <w:t>Secondo trattato sul governo</w:t>
      </w:r>
      <w:r w:rsidRPr="00433FC0">
        <w:t xml:space="preserve">, dedicato alla conquista e al potere coloniale – un capitolo tanto importante nell’economia del testo </w:t>
      </w:r>
      <w:proofErr w:type="spellStart"/>
      <w:r w:rsidRPr="00433FC0">
        <w:t>lockeano</w:t>
      </w:r>
      <w:proofErr w:type="spellEnd"/>
      <w:r w:rsidRPr="00433FC0">
        <w:t xml:space="preserve">, quanto il famoso e più celebrato quinto capitolo sulla proprietà. Qui il carattere astratto dell’argomentazione sulla fondazione del governo civile è, fin da principio, annullato dall’irruzione della storia e della sua concretezza: </w:t>
      </w:r>
    </w:p>
    <w:p w:rsidR="00545B3D" w:rsidRPr="00433FC0" w:rsidRDefault="004632E2">
      <w:pPr>
        <w:spacing w:after="694" w:line="224" w:lineRule="auto"/>
        <w:ind w:left="335" w:right="320" w:hanging="10"/>
      </w:pPr>
      <w:r w:rsidRPr="00433FC0">
        <w:rPr>
          <w:sz w:val="18"/>
        </w:rPr>
        <w:t>Sebbene i governi non possano inizialmente avere altra origine che quella sopra menzionata e le forme di governo non possano essere fondata che sul consenso del popolo, tuttavia tali sono stati i disordini di cui l’ambizione ha riempito il mondo che, nel clamore della guerra, che costituisce una così grossa parte della storia del genere umano, si è tenuto poco in conto tale consenso. Per questo molti hanno confuso la forza delle armi col consenso del popolo e ha</w:t>
      </w:r>
      <w:bookmarkStart w:id="0" w:name="_GoBack"/>
      <w:bookmarkEnd w:id="0"/>
      <w:r w:rsidRPr="00433FC0">
        <w:rPr>
          <w:sz w:val="18"/>
        </w:rPr>
        <w:t>nno considerato la conquista come una delle origini del governo</w:t>
      </w:r>
      <w:r w:rsidRPr="00433FC0">
        <w:rPr>
          <w:sz w:val="16"/>
          <w:vertAlign w:val="superscript"/>
        </w:rPr>
        <w:footnoteReference w:id="31"/>
      </w:r>
      <w:r w:rsidRPr="00433FC0">
        <w:rPr>
          <w:sz w:val="18"/>
        </w:rPr>
        <w:t xml:space="preserve">. </w:t>
      </w:r>
    </w:p>
    <w:p w:rsidR="00545B3D" w:rsidRPr="00433FC0" w:rsidRDefault="004632E2" w:rsidP="00433FC0">
      <w:pPr>
        <w:spacing w:after="199"/>
        <w:ind w:right="36" w:firstLine="0"/>
      </w:pPr>
      <w:r w:rsidRPr="00433FC0">
        <w:t xml:space="preserve">Siamo qui di colpo informati che la lunga e dettagliata analisi della fondazione del governo civile, la sua articolazione interna e i suoi scopi liberali descritti nei precedenti quindici capitoli non rappresentano la realtà; </w:t>
      </w:r>
      <w:r w:rsidRPr="00433FC0">
        <w:lastRenderedPageBreak/>
        <w:t xml:space="preserve">sono una fantasia, un desiderio che non ha mai avuto attuazione nella storia dell’umanità, che è stata governata, al contrario, dalla forza e dall’usurpazione. La sovranità statale e il governo legittimato sul consenso divengono un dover essere. </w:t>
      </w:r>
    </w:p>
    <w:p w:rsidR="00545B3D" w:rsidRPr="00433FC0" w:rsidRDefault="004632E2">
      <w:pPr>
        <w:spacing w:after="267" w:line="224" w:lineRule="auto"/>
        <w:ind w:left="335" w:right="320" w:hanging="10"/>
      </w:pPr>
      <w:r w:rsidRPr="00433FC0">
        <w:rPr>
          <w:sz w:val="18"/>
        </w:rPr>
        <w:t>Ma la conquista è tanto lungi dall’istituire un governo quanto il demolire una casa lo è dal costruirne una nuova al suo posto. Certo, spesso la conquista prepara la strada per una nuova forma di Stato col distruggere la precedente; ma senza il consenso del popolo non può mai erigerne una nuova</w:t>
      </w:r>
      <w:r w:rsidRPr="00433FC0">
        <w:rPr>
          <w:sz w:val="16"/>
          <w:vertAlign w:val="superscript"/>
        </w:rPr>
        <w:footnoteReference w:id="32"/>
      </w:r>
      <w:r w:rsidRPr="00433FC0">
        <w:rPr>
          <w:sz w:val="18"/>
        </w:rPr>
        <w:t xml:space="preserve">. </w:t>
      </w:r>
    </w:p>
    <w:p w:rsidR="00545B3D" w:rsidRPr="00433FC0" w:rsidRDefault="004632E2">
      <w:pPr>
        <w:ind w:left="-15" w:right="36"/>
      </w:pPr>
      <w:r w:rsidRPr="00433FC0">
        <w:t>Il primo passo necessario per trasformare questo dover essere nella realtà di una sovranità statuale funzionante è proprio lo smantellamento della indifferenza hobbesiana tra sovranità per istituzione e sovranità per acquisizione. Secondo Locke, l’argomento di Hobbes è infatti inconsistente: se anche si ammettesse che il conquistato si sottomette in modo consenziente al conquistatore, occorrerebbe ancora considerare «se le promesse estorte con la forza, senza diritto, possono essere ritenute espressione di consenso e fino a che punto siano vincolanti» dal momento che «la legge di natura, che mi impone un’obbligazione solo in base alle norme da essa prescritte, non può obbligarmi alla violazione di quelle norme stesse: questo è il caso in cui mi si estorce qualcosa con la forza». La risposta di Locke è ovviamente negativa: «il governo di un vincitore imposto con la forza sul vinto contro il quale non aveva alcun diritto di guerra […], non costituisce obbligazione alcuna per il vinto»</w:t>
      </w:r>
      <w:r w:rsidRPr="00433FC0">
        <w:rPr>
          <w:sz w:val="18"/>
          <w:vertAlign w:val="superscript"/>
        </w:rPr>
        <w:footnoteReference w:id="33"/>
      </w:r>
      <w:r w:rsidRPr="00433FC0">
        <w:t>. Nel contesto coloniale, in cui il potere deriva dalla conquista, non c’è alcuna rinuncia volontaria ai diritti naturali. Il potere sovrano dipende allora esclusivamente dall’abilità del conquistatore di costringere «spada al petto» i conquistati «a piegarsi alle sue condizioni e a sottomettersi al governo che vorrà dare loro». Tuttavia questo «diritto di sovranità» decade «appena Dio dà a coloro che si trovano nello stato di soggezione il coraggio e l’opportunità» per scrollarsi di dosso il loro giogo</w:t>
      </w:r>
      <w:r w:rsidRPr="00433FC0">
        <w:rPr>
          <w:sz w:val="18"/>
          <w:vertAlign w:val="superscript"/>
        </w:rPr>
        <w:footnoteReference w:id="34"/>
      </w:r>
      <w:r w:rsidRPr="00433FC0">
        <w:t xml:space="preserve">. </w:t>
      </w:r>
    </w:p>
    <w:p w:rsidR="00545B3D" w:rsidRPr="00433FC0" w:rsidRDefault="004632E2">
      <w:pPr>
        <w:spacing w:after="0"/>
        <w:ind w:left="-15" w:right="36"/>
      </w:pPr>
      <w:r w:rsidRPr="00433FC0">
        <w:t>Tuttavia, Locke chiarisce subito che questo riconoscimento della precarietà della sovranità nel contesto coloniale è «la miglior difesa contro la ribellione e il mezzo probabilmente più adatto a impedirla»</w:t>
      </w:r>
      <w:r w:rsidRPr="00433FC0">
        <w:rPr>
          <w:sz w:val="18"/>
          <w:vertAlign w:val="superscript"/>
        </w:rPr>
        <w:footnoteReference w:id="35"/>
      </w:r>
      <w:r w:rsidRPr="00433FC0">
        <w:t xml:space="preserve"> nel contesto statuale: l’evidenza storica, spiega il filosofo, dimostra infatti che «il popolo maltrattato di cui si calpesta il diritto è pronto a ogni occasione a scrollarsi di dosso il giogo che grava su di sé»</w:t>
      </w:r>
      <w:r w:rsidRPr="00433FC0">
        <w:rPr>
          <w:sz w:val="18"/>
          <w:vertAlign w:val="superscript"/>
        </w:rPr>
        <w:footnoteReference w:id="36"/>
      </w:r>
      <w:r w:rsidRPr="00433FC0">
        <w:t>, dal momento che «la volontà dell’uomo è intimamente ostinata, ribelle e avversa a ogni obbedienza»</w:t>
      </w:r>
      <w:r w:rsidRPr="00433FC0">
        <w:rPr>
          <w:sz w:val="18"/>
          <w:vertAlign w:val="superscript"/>
        </w:rPr>
        <w:footnoteReference w:id="37"/>
      </w:r>
      <w:r w:rsidRPr="00433FC0">
        <w:t xml:space="preserve">. Per rendere l’uomo (europeo) obbediente e per spingerlo a rinunciare alla propria naturale inclinazione alla disobbedienza è dunque necessario che il potere politico (europeo) sia considerato come uno spazio che garantisce condizioni eccezionali di sicurezza e protezione (della proprietà), come nel caso del nuovo governo emerso in Inghilterra alla fine delle guerre civili. </w:t>
      </w:r>
    </w:p>
    <w:p w:rsidR="00545B3D" w:rsidRPr="00433FC0" w:rsidRDefault="004632E2">
      <w:pPr>
        <w:spacing w:after="3"/>
        <w:ind w:left="-15" w:right="36"/>
      </w:pPr>
      <w:r w:rsidRPr="00433FC0">
        <w:t xml:space="preserve">L’invenzione della differenza coloniale serve a questo scopo: la teoria moderna della sovranità ha bisogno della diversità del nuovo mondo come luogo in cui tutti i vizi del vecchio mondo – o, più precisamente, tutti i vizi che la vecchia umanità ha scoperto con la «scoperta» del nuovo mondo – possano essere esternalizzati e localizzati. Rispecchiata nel mondo coloniale, l’Europa (il sistema europeo degli Stati sovrani) può diventare lo spazio di un’eccezione nella storia umana che, a causa della sua eccezionale capacità di proteggere e rendere sicuri i bisogni vitali dell’uomo, può richiedere condizioni straordinarie di obbedienza. Questo non vuol dire che il potere coloniale e la sua intrinseca violenza siano in quanto tali illegittimi. Al contrario, la legittima aspirazione europea ad accumulare e difendere la proprietà – da intendersi nel doppio senso di proprietà della terra e di esseri umani – in territori naturalmente e intimamente turbolenti come quelli del nuovo mondo, rende in un certo senso necessario un esercizio dispotico del potere. Quest’ultimo, tuttavia, è adesso «limitato» allo spazio selvaggio e conflittuale del mondo coloniale. </w:t>
      </w:r>
    </w:p>
    <w:p w:rsidR="00545B3D" w:rsidRPr="00433FC0" w:rsidRDefault="004632E2">
      <w:pPr>
        <w:spacing w:after="199"/>
        <w:ind w:left="-15" w:right="36"/>
      </w:pPr>
      <w:r w:rsidRPr="00433FC0">
        <w:t xml:space="preserve">La sovranità di Locke funziona di conseguenza secondo due differenti logiche politiche: quella razionale e consensuale dello Stato e quella coercitiva del potere coloniale, entrambe legittime nei loro specifici contesti geografici. Ciò, tuttavia, non impedisce a Locke di considerare asimmetrica la relazione tra i due spazi politici che compongono il mondo atlantico. Come egli spiega nel capitolo V del </w:t>
      </w:r>
      <w:r w:rsidRPr="00433FC0">
        <w:rPr>
          <w:i/>
        </w:rPr>
        <w:t>Secondo trattato</w:t>
      </w:r>
      <w:r w:rsidRPr="00433FC0">
        <w:t>, «all’inizio tutto il mondo era America»</w:t>
      </w:r>
      <w:r w:rsidRPr="00433FC0">
        <w:rPr>
          <w:sz w:val="18"/>
          <w:vertAlign w:val="superscript"/>
        </w:rPr>
        <w:footnoteReference w:id="38"/>
      </w:r>
      <w:r w:rsidRPr="00433FC0">
        <w:t xml:space="preserve">, uno spazio indisciplinato caratterizzato dal dominio e dai tentativi di sfuggirne. Con l’emergere del governo della legge, l’uomo europeo moderno e civilizzato è riuscito a sfuggire a questo destino e a cambiare una «una così grossa parte della storia del genere umano». Questo enorme sforzo della ragione per cambiare la natura del potere e delle relazioni politiche tra gli esseri umani – questo specifico </w:t>
      </w:r>
      <w:r w:rsidRPr="00433FC0">
        <w:rPr>
          <w:i/>
        </w:rPr>
        <w:t>know-how</w:t>
      </w:r>
      <w:r w:rsidRPr="00433FC0">
        <w:t xml:space="preserve"> – pone l’Europa nella posizione morale di dominare il mondo. </w:t>
      </w:r>
    </w:p>
    <w:p w:rsidR="00545B3D" w:rsidRDefault="004632E2">
      <w:pPr>
        <w:spacing w:after="0" w:line="224" w:lineRule="auto"/>
        <w:ind w:left="335" w:right="320" w:hanging="10"/>
        <w:rPr>
          <w:sz w:val="18"/>
        </w:rPr>
      </w:pPr>
      <w:r w:rsidRPr="00433FC0">
        <w:rPr>
          <w:sz w:val="18"/>
        </w:rPr>
        <w:t>Non vi è di ciò dimostrazione più chiara di quella offerta da diversi popoli d’America, ricchi di terra e poveri di tutti i mezzi di sussistenza. La natura ha fornito loro, con altrettanta generosità che a qualsiasi altro popolo, la materia prima della ricchezza, cioè un suolo fertile capace di produrre tutto quanto può servire per il nutrimento, il vestiario e il piacere. Tuttavia mancando i miglioramenti apportati dal lavoro, non hanno la centesima parte di cui noi godiamo; e il sovrano di un ampio e fertile territorio mangia, alloggia e veste peggio di un bracciante in Inghilterra</w:t>
      </w:r>
      <w:r w:rsidRPr="00433FC0">
        <w:rPr>
          <w:sz w:val="16"/>
          <w:vertAlign w:val="superscript"/>
        </w:rPr>
        <w:footnoteReference w:id="39"/>
      </w:r>
      <w:r w:rsidRPr="00433FC0">
        <w:rPr>
          <w:sz w:val="18"/>
        </w:rPr>
        <w:t xml:space="preserve">. </w:t>
      </w:r>
    </w:p>
    <w:p w:rsidR="00433FC0" w:rsidRPr="00433FC0" w:rsidRDefault="00433FC0">
      <w:pPr>
        <w:spacing w:after="0" w:line="224" w:lineRule="auto"/>
        <w:ind w:left="335" w:right="320" w:hanging="10"/>
      </w:pPr>
    </w:p>
    <w:p w:rsidR="00545B3D" w:rsidRPr="00433FC0" w:rsidRDefault="004632E2">
      <w:pPr>
        <w:spacing w:after="473"/>
        <w:ind w:left="-15" w:right="36"/>
      </w:pPr>
      <w:r w:rsidRPr="00433FC0">
        <w:t xml:space="preserve">Il primato dello Stato europeo presuppone e necessita però il continuo rispecchiamento nel mondo coloniale. Non esiste al di fuori di questa partizione fissa dello spazio atlantico. </w:t>
      </w:r>
    </w:p>
    <w:p w:rsidR="00545B3D" w:rsidRPr="00433FC0" w:rsidRDefault="004632E2">
      <w:pPr>
        <w:pStyle w:val="Titolo2"/>
        <w:spacing w:after="0"/>
        <w:ind w:left="-5"/>
        <w:rPr>
          <w:rFonts w:ascii="Times New Roman" w:hAnsi="Times New Roman" w:cs="Times New Roman"/>
        </w:rPr>
      </w:pPr>
      <w:r w:rsidRPr="00433FC0">
        <w:rPr>
          <w:rFonts w:ascii="Times New Roman" w:hAnsi="Times New Roman" w:cs="Times New Roman"/>
        </w:rPr>
        <w:t>4. Il polo (post)coloniale della sovranità moderna</w:t>
      </w:r>
    </w:p>
    <w:p w:rsidR="00545B3D" w:rsidRPr="00433FC0" w:rsidRDefault="004632E2">
      <w:pPr>
        <w:spacing w:after="0" w:line="259" w:lineRule="auto"/>
        <w:ind w:left="340" w:right="0" w:firstLine="0"/>
        <w:jc w:val="left"/>
      </w:pPr>
      <w:r w:rsidRPr="00433FC0">
        <w:t xml:space="preserve"> </w:t>
      </w:r>
    </w:p>
    <w:p w:rsidR="00545B3D" w:rsidRPr="00433FC0" w:rsidRDefault="004632E2">
      <w:pPr>
        <w:ind w:left="-15" w:right="36" w:firstLine="0"/>
      </w:pPr>
      <w:r w:rsidRPr="00433FC0">
        <w:t xml:space="preserve">Stato e colonia sono dunque le due forme spaziali che compongono la moderna sovranità (Terra), entrambe immaginate da Locke come strumenti concettuali per la </w:t>
      </w:r>
      <w:proofErr w:type="spellStart"/>
      <w:r w:rsidRPr="00433FC0">
        <w:t>riterritorializzazione</w:t>
      </w:r>
      <w:proofErr w:type="spellEnd"/>
      <w:r w:rsidRPr="00433FC0">
        <w:t xml:space="preserve"> di uno spazio politico attraversato dall’Idra della turbolenza atlantica (Mare). Più che i riferimenti tradizionali al diritto di resistenza nella </w:t>
      </w:r>
      <w:r w:rsidRPr="00433FC0">
        <w:rPr>
          <w:i/>
        </w:rPr>
        <w:t>Dichiarazione di indipendenza</w:t>
      </w:r>
      <w:r w:rsidRPr="00433FC0">
        <w:t xml:space="preserve">, è a partire da questa concezione duale della sovranità che possiamo comprendere meglio l’eredità di Locke nel pensiero politico americano e, più in generale, il posto che questo ha nella modernità occidentale. Contro ogni retorica </w:t>
      </w:r>
      <w:proofErr w:type="spellStart"/>
      <w:r w:rsidRPr="00433FC0">
        <w:t>eccezionalista</w:t>
      </w:r>
      <w:proofErr w:type="spellEnd"/>
      <w:r w:rsidRPr="00433FC0">
        <w:rPr>
          <w:sz w:val="18"/>
          <w:vertAlign w:val="superscript"/>
        </w:rPr>
        <w:footnoteReference w:id="40"/>
      </w:r>
      <w:r w:rsidRPr="00433FC0">
        <w:t xml:space="preserve">, ma allo stesso tempo senza negare la sua parziale eccentricità </w:t>
      </w:r>
      <w:r w:rsidRPr="00433FC0">
        <w:rPr>
          <w:i/>
        </w:rPr>
        <w:t>vis-à-vis</w:t>
      </w:r>
      <w:r w:rsidRPr="00433FC0">
        <w:t xml:space="preserve"> la forma-Stato, da una prospettiva atlantica l’esperienza americana della modernità appare infatti pienamente interna a questa logica duale della sovranità, di cui essa ha assunto e sviluppato il polo coloniale. Come ha correttamente mostrato </w:t>
      </w:r>
      <w:proofErr w:type="spellStart"/>
      <w:r w:rsidRPr="00433FC0">
        <w:t>Cornel</w:t>
      </w:r>
      <w:proofErr w:type="spellEnd"/>
      <w:r w:rsidRPr="00433FC0">
        <w:t xml:space="preserve"> West, la cultura politica americana appare infatti costitutivamente duale: «essere americani eppure sentirsi europei, […] provinciali ma agognando il cosmopolitismo britannico, […] al tempo stesso non completamente civilizzati e materialmente prosperosi, un fine bramino in condizioni disagiate»</w:t>
      </w:r>
      <w:r w:rsidRPr="00433FC0">
        <w:rPr>
          <w:sz w:val="18"/>
          <w:vertAlign w:val="superscript"/>
        </w:rPr>
        <w:footnoteReference w:id="41"/>
      </w:r>
      <w:r w:rsidRPr="00433FC0">
        <w:t xml:space="preserve">. In un contesto politico di questo tipo, benché formalmente assunto, il modello di governo fondato sul consenso proposto da Locke è sottoposto a una torsione postcoloniale. Ciò è particolarmente vero per Thomas </w:t>
      </w:r>
      <w:proofErr w:type="spellStart"/>
      <w:r w:rsidRPr="00433FC0">
        <w:t>Paine</w:t>
      </w:r>
      <w:proofErr w:type="spellEnd"/>
      <w:r w:rsidRPr="00433FC0">
        <w:t xml:space="preserve">, che in </w:t>
      </w:r>
      <w:r w:rsidRPr="00433FC0">
        <w:rPr>
          <w:i/>
        </w:rPr>
        <w:t>Senso comune</w:t>
      </w:r>
      <w:r w:rsidRPr="00433FC0">
        <w:t xml:space="preserve"> offre una fondazione non contrattualistica alla repubblica rivoluzionaria americana, affermando al tempo stesso la necessità di una qualche forma di potere sovrano per lo sviluppo sicuro della nuova e indipendente società commerciale nata in America</w:t>
      </w:r>
      <w:r w:rsidRPr="00433FC0">
        <w:rPr>
          <w:sz w:val="18"/>
          <w:vertAlign w:val="superscript"/>
        </w:rPr>
        <w:footnoteReference w:id="42"/>
      </w:r>
      <w:r w:rsidRPr="00433FC0">
        <w:t xml:space="preserve">. </w:t>
      </w:r>
    </w:p>
    <w:p w:rsidR="00545B3D" w:rsidRDefault="004632E2">
      <w:pPr>
        <w:ind w:left="-15" w:right="36"/>
      </w:pPr>
      <w:r w:rsidRPr="00433FC0">
        <w:t xml:space="preserve">Di nuovo, è una strategia spaziale che apre la strada a quella che possiamo considerare una fondazione (post)coloniale della sovranità: lo spostamento del conflitto tra colonie americane e Gran Bretagna dalla sua originaria cornice europea (ossia come conflitto tra «sudditi britannici») a quella coloniale americana. Ciò avviene attraverso la reinvenzione e la ridefinizione dei coloni rivoluzionari come «americani», un popolo di nazionalità differenti, unificate dalla comune esperienza dell’oppressione europea, che trasforma in questo modo la battaglia «costituzionale» per il rispetto dei tradizionali diritti inglesi in una guerra anticoloniale di liberazione contro una potenza «straniera». </w:t>
      </w:r>
    </w:p>
    <w:p w:rsidR="00433FC0" w:rsidRPr="00433FC0" w:rsidRDefault="00433FC0">
      <w:pPr>
        <w:ind w:left="-15" w:right="36"/>
      </w:pPr>
    </w:p>
    <w:p w:rsidR="00545B3D" w:rsidRPr="00433FC0" w:rsidRDefault="004632E2">
      <w:pPr>
        <w:spacing w:after="267" w:line="224" w:lineRule="auto"/>
        <w:ind w:left="335" w:right="320" w:hanging="10"/>
      </w:pPr>
      <w:r w:rsidRPr="00433FC0">
        <w:rPr>
          <w:sz w:val="18"/>
        </w:rPr>
        <w:t>Questo nuovo mondo è stato il rifugio degli amanti perseguitati della libertà civile e religiosa che venivano da ogni parte d’Europa. Essi sono fuggiti quaggiù per sottrarsi non al tenero abbraccio di una madre, ma alla crudeltà di un mostro […] tutti gli europei che si incontrano in America o in ogni altra parte del globo saranno connazionali. Infatti l’Olanda, la Germania, la Svezia, paragonate al mondo intero, su una scala più vasta, stanno tra loro nella stessa proporzione delle divisioni di strada e città e contea a un livello più vasto</w:t>
      </w:r>
      <w:r w:rsidRPr="00433FC0">
        <w:rPr>
          <w:sz w:val="16"/>
          <w:vertAlign w:val="superscript"/>
        </w:rPr>
        <w:footnoteReference w:id="43"/>
      </w:r>
      <w:r w:rsidRPr="00433FC0">
        <w:rPr>
          <w:sz w:val="18"/>
        </w:rPr>
        <w:t xml:space="preserve">. </w:t>
      </w:r>
    </w:p>
    <w:p w:rsidR="00545B3D" w:rsidRPr="00433FC0" w:rsidRDefault="004632E2">
      <w:pPr>
        <w:ind w:left="-15" w:right="36"/>
      </w:pPr>
      <w:r w:rsidRPr="00433FC0">
        <w:t xml:space="preserve">La scelta degli attivisti del Boston Tea Party di travestirsi da indiani Mohawk durante i loro atti di sabotaggio dei cargo della Compagnia delle Indie Orientali è, in questo senso, più che simbolica. Grazie all’appropriazione di questa identità coloniale indigena – che implica contestualmente il furto dell’identità nativa americana e l’occultamento della loro presenza nei territori americani, ideologicamente trasformati in una terra «vuota» aperta e disponibile alla colonizzazione dei lavoratori che fuggivano dall’oppressione europea – </w:t>
      </w:r>
      <w:proofErr w:type="spellStart"/>
      <w:r w:rsidRPr="00433FC0">
        <w:t>Paine</w:t>
      </w:r>
      <w:proofErr w:type="spellEnd"/>
      <w:r w:rsidRPr="00433FC0">
        <w:t xml:space="preserve"> può riformulare il discorso sulla necessità della sovranità al di fuori dell’artificio del contratto e come risultato del naturale sviluppo dell’insediamento coloniale</w:t>
      </w:r>
      <w:r w:rsidRPr="00433FC0">
        <w:rPr>
          <w:sz w:val="18"/>
          <w:vertAlign w:val="superscript"/>
        </w:rPr>
        <w:footnoteReference w:id="44"/>
      </w:r>
      <w:r w:rsidRPr="00433FC0">
        <w:t>: «per concepire un’idea chiara ed esatta dei fini del governo, immaginiamo un piccolo numero di persone che vivano in qualche remota parte della terra isolata dal resto; esse rappresentano la popolazione originaria di qualsiasi paese del mondo». In questo peculiare «stato di libertà naturale», in cui lo sforzo necessario alla conquista di un territorio selvaggio e ostile va di pari passo con la minaccia quotidiana della fame e delle malattie, gli «emigranti appena sbarcati» sono «inadeguati alla solitudine perpetua» e reciprocamente obbligati, come se fossero mossi da una «forza di gravità» a sostenersi «gli uni con gli altri in modo reciproco e naturale», rendendo «inutili» gli «obblighi della legge e del governo»</w:t>
      </w:r>
      <w:r w:rsidRPr="00433FC0">
        <w:rPr>
          <w:sz w:val="18"/>
          <w:vertAlign w:val="superscript"/>
        </w:rPr>
        <w:footnoteReference w:id="45"/>
      </w:r>
      <w:r w:rsidRPr="00433FC0">
        <w:t xml:space="preserve">. </w:t>
      </w:r>
    </w:p>
    <w:p w:rsidR="00545B3D" w:rsidRPr="00433FC0" w:rsidRDefault="004632E2">
      <w:pPr>
        <w:spacing w:after="197"/>
        <w:ind w:left="-15" w:right="36"/>
      </w:pPr>
      <w:r w:rsidRPr="00433FC0">
        <w:t xml:space="preserve">Benché le particolari condizioni della colonizzazione americana rendessero dunque superfluo l’artificio di un potere sovrano per la formazione di una società civile e intraprendente, </w:t>
      </w:r>
      <w:proofErr w:type="spellStart"/>
      <w:r w:rsidRPr="00433FC0">
        <w:t>Paine</w:t>
      </w:r>
      <w:proofErr w:type="spellEnd"/>
      <w:r w:rsidRPr="00433FC0">
        <w:t xml:space="preserve"> riteneva tuttavia che il «male» del governo fosse «necessario» per il suo ordinato funzionamento, soprattutto quando «le prime difficoltà dell’emigrazione» che vincolavano insieme i coloni «in una causa comune» risultano superate, favorendo un progressivo rilassamento degli iniziali «legami reciproci». Ciò sarà particolarmente vero nelle prime fasi post-</w:t>
      </w:r>
      <w:r w:rsidRPr="00433FC0">
        <w:lastRenderedPageBreak/>
        <w:t xml:space="preserve">rivoluzionarie, quando il «radicale» </w:t>
      </w:r>
      <w:proofErr w:type="spellStart"/>
      <w:r w:rsidRPr="00433FC0">
        <w:t>Paine</w:t>
      </w:r>
      <w:proofErr w:type="spellEnd"/>
      <w:r w:rsidRPr="00433FC0">
        <w:t xml:space="preserve"> condividerà con il «sobrio» John Adams gli stessi timori per la sopravvivenza della nuova nazione; in un periodo cioè in cui «molte delle obbligazioni morali della società erano indebolite, finché il costume di agire per necessità diviene un’apologia mentre è in realtà un crimine»</w:t>
      </w:r>
      <w:r w:rsidRPr="00433FC0">
        <w:rPr>
          <w:sz w:val="18"/>
          <w:vertAlign w:val="superscript"/>
        </w:rPr>
        <w:footnoteReference w:id="46"/>
      </w:r>
      <w:r w:rsidRPr="00433FC0">
        <w:t>, e in cui, nei termini di Adams, «i legami del governo» sono «ovunque allentati», «i figli e gli apprendisti sono disobbedienti, le scuole e i college turbolenti, gli indiani mancano di rispetto ai loro guardiani e i negri sono insolenti nei confronti dei loro padroni»</w:t>
      </w:r>
      <w:r w:rsidRPr="00433FC0">
        <w:rPr>
          <w:sz w:val="18"/>
          <w:vertAlign w:val="superscript"/>
        </w:rPr>
        <w:footnoteReference w:id="47"/>
      </w:r>
      <w:r w:rsidRPr="00433FC0">
        <w:t xml:space="preserve">. La «proprietà» e il «commercio» americani appaiono in questa fase a </w:t>
      </w:r>
      <w:proofErr w:type="spellStart"/>
      <w:r w:rsidRPr="00433FC0">
        <w:t>Paine</w:t>
      </w:r>
      <w:proofErr w:type="spellEnd"/>
      <w:r w:rsidRPr="00433FC0">
        <w:t xml:space="preserve"> tanto precari e incerti quanto lo erano stati in Europa per Hobbes e Locke. Lo spettro dell’idra dalle molte teste ossessiona anche l’altra sponda del mondo capitalista atlantico: </w:t>
      </w:r>
    </w:p>
    <w:p w:rsidR="00545B3D" w:rsidRPr="00433FC0" w:rsidRDefault="004632E2">
      <w:pPr>
        <w:spacing w:after="267" w:line="224" w:lineRule="auto"/>
        <w:ind w:left="335" w:right="320" w:hanging="10"/>
      </w:pPr>
      <w:r w:rsidRPr="00433FC0">
        <w:rPr>
          <w:sz w:val="18"/>
        </w:rPr>
        <w:t>Quando si rifletta seriamente sulla precarietà delle cose umane, ci si persuaderà che è infinitamente più saggio e più salutare formarsi una propria costituzione con calma e decisione, finché è possibile, piuttosto che affidare un’azione tanto importante al tempo e al caso. Se oggi noi lo trascurassimo potrebbe sorgere in futuro un Masaniello che, approfittando dello scontento popolare, radunerebbe i disperati e gli insoddisfatti, e affidando loro il potere del governo, spazzerebbe via come un diluvio le libertà americane una volta per sempre</w:t>
      </w:r>
      <w:r w:rsidRPr="00433FC0">
        <w:rPr>
          <w:sz w:val="16"/>
          <w:vertAlign w:val="superscript"/>
        </w:rPr>
        <w:footnoteReference w:id="48"/>
      </w:r>
      <w:r w:rsidRPr="00433FC0">
        <w:rPr>
          <w:sz w:val="18"/>
        </w:rPr>
        <w:t>.</w:t>
      </w:r>
    </w:p>
    <w:p w:rsidR="00545B3D" w:rsidRPr="00433FC0" w:rsidRDefault="004632E2">
      <w:pPr>
        <w:ind w:left="-15" w:right="36"/>
      </w:pPr>
      <w:r w:rsidRPr="00433FC0">
        <w:t xml:space="preserve">In una situazione così precaria, spiega </w:t>
      </w:r>
      <w:proofErr w:type="spellStart"/>
      <w:r w:rsidRPr="00433FC0">
        <w:t>Paine</w:t>
      </w:r>
      <w:proofErr w:type="spellEnd"/>
      <w:r w:rsidRPr="00433FC0">
        <w:t>, «lasciare vacante il seggio del governo» in nome del giusto principio secondo cui la società è naturalmente capace di promuovere «la nostra felicità positivamente unendo insieme i nostri affetti» significherebbe «spalancare le porte ad una tirannia eterna» e a quella «potenza barbara e infernale che ha incitato i negri e gli indiani a distruggerci»</w:t>
      </w:r>
      <w:r w:rsidRPr="00433FC0">
        <w:rPr>
          <w:sz w:val="18"/>
          <w:vertAlign w:val="superscript"/>
        </w:rPr>
        <w:footnoteReference w:id="49"/>
      </w:r>
      <w:r w:rsidRPr="00433FC0">
        <w:t xml:space="preserve">. </w:t>
      </w:r>
    </w:p>
    <w:p w:rsidR="00545B3D" w:rsidRPr="00433FC0" w:rsidRDefault="004632E2">
      <w:pPr>
        <w:spacing w:after="199"/>
        <w:ind w:left="-15" w:right="36"/>
      </w:pPr>
      <w:proofErr w:type="spellStart"/>
      <w:r w:rsidRPr="00433FC0">
        <w:t>Paine</w:t>
      </w:r>
      <w:proofErr w:type="spellEnd"/>
      <w:r w:rsidRPr="00433FC0">
        <w:t>, tuttavia, non usa mai la parola «Stato» per designare questo «necessario» potere sovrano. Ciò non soltanto per la sua idiosincrasia per la forma monarchica con cui lo Stato era a quel tempo identificato, ma anche e soprattutto perché era consapevole dell’originalità del fondamento coloniale dell’esperienza statunitense, che rendeva impraticabile la riproduzione in forma pura della sovranità. Si pensi, ad esempio, «ai territori deserti dell’Ovest» e ai «confini incerti, oscuri e inintelligibili» del continente americano. In un simile paesaggio politico, il confine di Hobbes, il perimetro spaziale della sovranità statuale, lascia il posto alla forma mobile e polverosa della frontiera</w:t>
      </w:r>
      <w:r w:rsidRPr="00433FC0">
        <w:rPr>
          <w:sz w:val="18"/>
          <w:vertAlign w:val="superscript"/>
        </w:rPr>
        <w:footnoteReference w:id="50"/>
      </w:r>
      <w:r w:rsidRPr="00433FC0">
        <w:t xml:space="preserve">, una forma di </w:t>
      </w:r>
      <w:r w:rsidRPr="00433FC0">
        <w:rPr>
          <w:i/>
        </w:rPr>
        <w:t>limes</w:t>
      </w:r>
      <w:r w:rsidRPr="00433FC0">
        <w:t xml:space="preserve"> che, come anche Marx avrebbe osservato anni dopo discutendo la resistenza del lavoro al comando capitalistico sul territorio americano</w:t>
      </w:r>
      <w:r w:rsidRPr="00433FC0">
        <w:rPr>
          <w:sz w:val="18"/>
          <w:vertAlign w:val="superscript"/>
        </w:rPr>
        <w:footnoteReference w:id="51"/>
      </w:r>
      <w:r w:rsidRPr="00433FC0">
        <w:t>, rende «l’intera composizione dell’uomo» nel continente americano «dipinta con una disposizione alla contesa» e un’inclinazione a «dare il massimo grado della forza al nostro caso» nell’assenza di una «ragionevole misura»; incompatibile quindi con la neutralizzazione della società presupposta dalla sovranità continentale e che, di conseguenza, rende essenziale per lo sviluppo degli interessi commerciali americani e la sopravvivenza dell’«armonia e la perpetua amicizia» l’invenzione di una forma di sovranità «organizzata per la linea in cui deve agire»</w:t>
      </w:r>
      <w:r w:rsidRPr="00433FC0">
        <w:rPr>
          <w:sz w:val="18"/>
          <w:vertAlign w:val="superscript"/>
        </w:rPr>
        <w:footnoteReference w:id="52"/>
      </w:r>
      <w:r w:rsidRPr="00433FC0">
        <w:t xml:space="preserve">; in una situazione cioè in cui l’esistenza di un’unità politica non può essere la precondizione della legge, ma solo il risultato del suo esercizio instabile e plurale, senza operare al tempo stesso nelle forme dispotiche e non consensuali del potere coloniale lockiano (eccezion fatta, ovviamente, per le «nazioni» interne degli Indiani e dei Negri nei confronti delle quali l’esercizio del potere coloniale è invece necessario e, per certi versi, positivo). </w:t>
      </w:r>
      <w:proofErr w:type="spellStart"/>
      <w:r w:rsidRPr="00433FC0">
        <w:t>Paine</w:t>
      </w:r>
      <w:proofErr w:type="spellEnd"/>
      <w:r w:rsidRPr="00433FC0">
        <w:t xml:space="preserve"> la chiama «la nostra sovranità unita», perché presuppone il trasferimento di molte prerogative sovrane dal livello degli Stati a quello continentale dell’Unione, ma anche e soprattutto perché è il risultato dell’interazione di differenti attori sovrani. Di fatto, se da un lato la «grandezza e la sicurezza» del «commercio» americano risiedono senza dubbio nella capacità dell’Unione di funzionare come potere sovrano, specie per quel che riguarda la politica estera o fiscale, dall’altro l’Unione non è concepita da </w:t>
      </w:r>
      <w:proofErr w:type="spellStart"/>
      <w:r w:rsidRPr="00433FC0">
        <w:t>Paine</w:t>
      </w:r>
      <w:proofErr w:type="spellEnd"/>
      <w:r w:rsidRPr="00433FC0">
        <w:t xml:space="preserve"> come un mega-Stato o un Leviatano continentale, che riproduce nei confronti dei suoi poteri locali la stessa relazione immaginata da Hobbes tra il centro e i suoi «sistemi soggetti». Al contrario, questo potere sovrano è intrinsecamente diviso e spezzato in una pluralità di poteri politici. Ad esempio, discutendo la relazione tra governo federale e Stati, </w:t>
      </w:r>
      <w:proofErr w:type="spellStart"/>
      <w:r w:rsidRPr="00433FC0">
        <w:t>Paine</w:t>
      </w:r>
      <w:proofErr w:type="spellEnd"/>
      <w:r w:rsidRPr="00433FC0">
        <w:t xml:space="preserve"> descrive la sovranità americana come un potere «bicipite», dovuto al governo e all’amministrazione dell’irriducibile «opposizione di interessi» che permea la società americana: </w:t>
      </w:r>
    </w:p>
    <w:p w:rsidR="00545B3D" w:rsidRPr="00433FC0" w:rsidRDefault="004632E2">
      <w:pPr>
        <w:spacing w:after="267" w:line="224" w:lineRule="auto"/>
        <w:ind w:left="335" w:right="320" w:hanging="10"/>
      </w:pPr>
      <w:r w:rsidRPr="00433FC0">
        <w:rPr>
          <w:sz w:val="18"/>
        </w:rPr>
        <w:t xml:space="preserve">Ciascuno in America si trova in un duplice ordine di cittadinanza. È cittadino dello Stato in cui vive e degli Stati Uniti; e senza supportare giustamente e veramente la sua cittadinanza in questi ultimi, sacrificherà inevitabilmente la </w:t>
      </w:r>
      <w:r w:rsidRPr="00433FC0">
        <w:rPr>
          <w:sz w:val="18"/>
        </w:rPr>
        <w:lastRenderedPageBreak/>
        <w:t>prima. Una protegge la sua sicurezza domestica e la sua proprietà dai furti e dalle ingiustizie; l’altra la sua proprietà lontana dalla pirateria e delle invasioni e lo mette allo stesso livello delle altre nazioni</w:t>
      </w:r>
      <w:r w:rsidRPr="00433FC0">
        <w:rPr>
          <w:sz w:val="16"/>
          <w:vertAlign w:val="superscript"/>
        </w:rPr>
        <w:footnoteReference w:id="53"/>
      </w:r>
      <w:r w:rsidRPr="00433FC0">
        <w:rPr>
          <w:sz w:val="18"/>
        </w:rPr>
        <w:t xml:space="preserve">. </w:t>
      </w:r>
    </w:p>
    <w:p w:rsidR="00545B3D" w:rsidRPr="00433FC0" w:rsidRDefault="004632E2">
      <w:pPr>
        <w:spacing w:after="473"/>
        <w:ind w:left="-15" w:right="36"/>
      </w:pPr>
      <w:r w:rsidRPr="00433FC0">
        <w:t>La sovranità non è dunque né quella degli Stati, né quella dell’Unione, ma il loro reciproco assemblaggio</w:t>
      </w:r>
      <w:r w:rsidRPr="00433FC0">
        <w:rPr>
          <w:sz w:val="18"/>
          <w:vertAlign w:val="superscript"/>
        </w:rPr>
        <w:footnoteReference w:id="54"/>
      </w:r>
      <w:r w:rsidRPr="00433FC0">
        <w:t xml:space="preserve">, mentre per Hobbes e Locke la sovranità emergeva proprio là dove la pluralità di lealtà e di interessi che caratterizzano la politica naturale venivano superati nella forma unitaria dello Stato (l’Uno opposto ai molti). Andando oltre la lettera del discorso di </w:t>
      </w:r>
      <w:proofErr w:type="spellStart"/>
      <w:r w:rsidRPr="00433FC0">
        <w:t>Paine</w:t>
      </w:r>
      <w:proofErr w:type="spellEnd"/>
      <w:r w:rsidRPr="00433FC0">
        <w:t>, si potrebbe anche dire che la sovranità americana è «popolare» non solo perché è repubblicana (cioè opposta a quella monarchica europea), ma anche, e primariamente, perché nella sua essenza essa resta plurale. Anche quando opera ai livelli più alti della centralizzazione politica, nell’arena internazionale, essa non funziona semplicemente come sovranità statuale, perseguendo ad esempio il fine imperialistico dell’acquisizione territoriale per l’accaparramento di risorse economiche straniere tipica dei poteri europei moderni (anche se ciò non ha impedito agli Stati Uniti di compiere le proprie guerre di conquista)</w:t>
      </w:r>
      <w:r w:rsidRPr="00433FC0">
        <w:rPr>
          <w:sz w:val="18"/>
          <w:vertAlign w:val="superscript"/>
        </w:rPr>
        <w:footnoteReference w:id="55"/>
      </w:r>
      <w:r w:rsidRPr="00433FC0">
        <w:t>. Essa funziona, piuttosto, con l’ambizione «imperiale» di proteggere e controllare lo spazio vitale del mercato nazionale</w:t>
      </w:r>
      <w:r w:rsidRPr="00433FC0">
        <w:rPr>
          <w:sz w:val="18"/>
          <w:vertAlign w:val="superscript"/>
        </w:rPr>
        <w:footnoteReference w:id="56"/>
      </w:r>
      <w:r w:rsidRPr="00433FC0">
        <w:t xml:space="preserve">. Insomma, la natura stessa della sovranità è cambiata: da condizione di possibilità per uno spazio politico statico e neutralizzato, essa è diventata «gestione» di uno spazio popolato da una pluralità di attori e poteri politici (pubblici e privati), i quali, di norma, operano all’interno di una divisione cooperativa del lavoro (per il governo e la difesa degli interessi commerciali), ma che, in più di una circostanza, come nel caso della rivendicazione della Virginia sui territori vacanti dell’Ovest o per il rifiuto del Rhode Island di pagare un’imposta del 5% per coprire i debiti di guerra, si trovano anche in polemica e competizione reciproca. </w:t>
      </w:r>
    </w:p>
    <w:p w:rsidR="00545B3D" w:rsidRPr="00433FC0" w:rsidRDefault="004632E2">
      <w:pPr>
        <w:pStyle w:val="Titolo2"/>
        <w:ind w:left="-5"/>
        <w:rPr>
          <w:rFonts w:ascii="Times New Roman" w:hAnsi="Times New Roman" w:cs="Times New Roman"/>
        </w:rPr>
      </w:pPr>
      <w:r w:rsidRPr="00433FC0">
        <w:rPr>
          <w:rFonts w:ascii="Times New Roman" w:hAnsi="Times New Roman" w:cs="Times New Roman"/>
        </w:rPr>
        <w:t>5. Verso un nuovo assemblaggio di Terra e Mare</w:t>
      </w:r>
    </w:p>
    <w:p w:rsidR="00545B3D" w:rsidRPr="00433FC0" w:rsidRDefault="004632E2">
      <w:pPr>
        <w:ind w:left="-15" w:right="36" w:firstLine="0"/>
      </w:pPr>
      <w:r w:rsidRPr="00433FC0">
        <w:t xml:space="preserve">Molte sono le affinità tra la «sovranità unita» di </w:t>
      </w:r>
      <w:proofErr w:type="spellStart"/>
      <w:r w:rsidRPr="00433FC0">
        <w:t>Paine</w:t>
      </w:r>
      <w:proofErr w:type="spellEnd"/>
      <w:r w:rsidRPr="00433FC0">
        <w:t xml:space="preserve"> e il concetto di «</w:t>
      </w:r>
      <w:proofErr w:type="spellStart"/>
      <w:r w:rsidRPr="00433FC0">
        <w:t>governance</w:t>
      </w:r>
      <w:proofErr w:type="spellEnd"/>
      <w:r w:rsidRPr="00433FC0">
        <w:t>» usato in questi ultimi anni per descrivere le radicali trasformazioni della sovranità in età globale</w:t>
      </w:r>
      <w:r w:rsidRPr="00433FC0">
        <w:rPr>
          <w:sz w:val="18"/>
          <w:vertAlign w:val="superscript"/>
        </w:rPr>
        <w:footnoteReference w:id="57"/>
      </w:r>
      <w:r w:rsidRPr="00433FC0">
        <w:t xml:space="preserve">. A dispetto delle molte similitudini tra i due modelli, sarebbe tuttavia fuorviante interpretare la </w:t>
      </w:r>
      <w:proofErr w:type="spellStart"/>
      <w:r w:rsidRPr="00433FC0">
        <w:rPr>
          <w:i/>
        </w:rPr>
        <w:t>governance</w:t>
      </w:r>
      <w:proofErr w:type="spellEnd"/>
      <w:r w:rsidRPr="00433FC0">
        <w:t xml:space="preserve"> globale contemporanea nei termini di un’immediata omologia con la sovranità post-coloniale americana. Come si è illustrato nelle pagine precedenti, le logiche post-coloniali americane di gestione e amministrazione sono interne all’equilibrio spaziale della modernità e al processo di </w:t>
      </w:r>
      <w:proofErr w:type="spellStart"/>
      <w:r w:rsidRPr="00433FC0">
        <w:t>riterritorializzazione</w:t>
      </w:r>
      <w:proofErr w:type="spellEnd"/>
      <w:r w:rsidRPr="00433FC0">
        <w:t xml:space="preserve"> della politica in esse implicato. Lo stesso è vero per la leadership internazionale americana nel XX secolo, in cui quelle logiche post-coloniali hanno guadagnato una crescente importanza su scala planetaria, fino a sussumere ampia parte della sovranità degli Stati e delle istituzioni nazionali sotto il loro mantello (il piano Marshall e la NATO sono tipici esempi di questa sussunzione). Diversamente da quanto pensava Schmitt, questa leadership americana non coincide dunque con la fine dell’equilibrio spaziale tra Terra e Mare che aveva modellato la modernità. Piuttosto, nella prospettiva atlantica qui proposta, essa dovrebbe essere considerata come uno spostamento all’interno dello stesso modello moderno di sovranità duale, ossia come la tendenziale affermazione egemonica delle logiche post-coloniali su quelle dello Stato; ciò che ha corrisposto in termini geopolitici all’allargamento dello spazio vitale statunitense dall’emisfero americano a quello dell’intero mondo occidentale. Come aveva già notato Herbert </w:t>
      </w:r>
      <w:proofErr w:type="spellStart"/>
      <w:r w:rsidRPr="00433FC0">
        <w:t>Marcuse</w:t>
      </w:r>
      <w:proofErr w:type="spellEnd"/>
      <w:r w:rsidRPr="00433FC0">
        <w:t xml:space="preserve"> a metà degli anni Sessanta, il «contenimento del mutamento sociale» implicito nell’egemonia americana del secondo dopoguerra operava infatti ancora all’interno di un quadro spaziale duale fisso, dal momento che presupponeva l’esistenza del competitore imperiale sovietico e la divisione del mondo in due grandi spazi politici: quello occidentale e quello orientale (ma anche il nord e il sud)</w:t>
      </w:r>
      <w:r w:rsidRPr="00433FC0">
        <w:rPr>
          <w:sz w:val="18"/>
          <w:vertAlign w:val="superscript"/>
        </w:rPr>
        <w:footnoteReference w:id="58"/>
      </w:r>
      <w:r w:rsidRPr="00433FC0">
        <w:t xml:space="preserve">. </w:t>
      </w:r>
    </w:p>
    <w:p w:rsidR="00545B3D" w:rsidRPr="00433FC0" w:rsidRDefault="004632E2">
      <w:pPr>
        <w:ind w:left="-15" w:right="36"/>
      </w:pPr>
      <w:r w:rsidRPr="00433FC0">
        <w:t xml:space="preserve">Tuttavia, nella «condizione post-coloniale» attuale è esattamente questa fissità spaziale a essere stata spazzata dal divenire globale delle logiche politiche post-coloniali. Nei termini di </w:t>
      </w:r>
      <w:proofErr w:type="spellStart"/>
      <w:r w:rsidRPr="00433FC0">
        <w:t>Saskia</w:t>
      </w:r>
      <w:proofErr w:type="spellEnd"/>
      <w:r w:rsidRPr="00433FC0">
        <w:t xml:space="preserve"> </w:t>
      </w:r>
      <w:proofErr w:type="spellStart"/>
      <w:r w:rsidRPr="00433FC0">
        <w:t>Sassen</w:t>
      </w:r>
      <w:proofErr w:type="spellEnd"/>
      <w:r w:rsidRPr="00433FC0">
        <w:t>, ciò a cui noi assistiamo oggi è il «</w:t>
      </w:r>
      <w:proofErr w:type="spellStart"/>
      <w:r w:rsidRPr="00433FC0">
        <w:t>disassemblaggio</w:t>
      </w:r>
      <w:proofErr w:type="spellEnd"/>
      <w:r w:rsidRPr="00433FC0">
        <w:t xml:space="preserve">» della moderna </w:t>
      </w:r>
      <w:proofErr w:type="spellStart"/>
      <w:r w:rsidRPr="00433FC0">
        <w:t>riterritorializzazione</w:t>
      </w:r>
      <w:proofErr w:type="spellEnd"/>
      <w:r w:rsidRPr="00433FC0">
        <w:t xml:space="preserve"> della politica e di tutte le distinzioni spaziali su di essa costruite, incluse quelle tra Stato e colonie, nord e sud, primo, secondo e terzo mondo, che appaiono sempre meno capaci di «afferrare» il presente globale</w:t>
      </w:r>
      <w:r w:rsidRPr="00433FC0">
        <w:rPr>
          <w:sz w:val="18"/>
          <w:vertAlign w:val="superscript"/>
        </w:rPr>
        <w:footnoteReference w:id="59"/>
      </w:r>
      <w:r w:rsidRPr="00433FC0">
        <w:t xml:space="preserve">. Oggi è proprio la natura </w:t>
      </w:r>
      <w:proofErr w:type="spellStart"/>
      <w:r w:rsidRPr="00433FC0">
        <w:t>terrocentrica</w:t>
      </w:r>
      <w:proofErr w:type="spellEnd"/>
      <w:r w:rsidRPr="00433FC0">
        <w:t xml:space="preserve"> della sovranità che è messa in gioco. Il potere politico è tornato a essere una forma altamente sofisticata di </w:t>
      </w:r>
      <w:proofErr w:type="spellStart"/>
      <w:r w:rsidRPr="00433FC0">
        <w:rPr>
          <w:i/>
        </w:rPr>
        <w:t>gubernatio</w:t>
      </w:r>
      <w:proofErr w:type="spellEnd"/>
      <w:r w:rsidRPr="00433FC0">
        <w:rPr>
          <w:i/>
        </w:rPr>
        <w:t xml:space="preserve"> </w:t>
      </w:r>
      <w:proofErr w:type="spellStart"/>
      <w:r w:rsidRPr="00433FC0">
        <w:rPr>
          <w:i/>
        </w:rPr>
        <w:t>navis</w:t>
      </w:r>
      <w:proofErr w:type="spellEnd"/>
      <w:r w:rsidRPr="00433FC0">
        <w:rPr>
          <w:i/>
        </w:rPr>
        <w:t xml:space="preserve"> rei </w:t>
      </w:r>
      <w:proofErr w:type="spellStart"/>
      <w:r w:rsidRPr="00433FC0">
        <w:rPr>
          <w:i/>
        </w:rPr>
        <w:t>publicae</w:t>
      </w:r>
      <w:proofErr w:type="spellEnd"/>
      <w:r w:rsidRPr="00433FC0">
        <w:t xml:space="preserve">, una navigazione rischiosa sulle acque spumeggianti della politica, nella forma dell’invenzione di </w:t>
      </w:r>
      <w:r w:rsidRPr="00433FC0">
        <w:lastRenderedPageBreak/>
        <w:t>soluzioni istituzionali temporanee per controllare poteri e attori su scala globale (come ad esempio flussi finanziari o nuove forme di insorgenze sociali) che non possono essere neutralizzati in modo permanente</w:t>
      </w:r>
      <w:r w:rsidRPr="00433FC0">
        <w:rPr>
          <w:sz w:val="18"/>
          <w:vertAlign w:val="superscript"/>
        </w:rPr>
        <w:footnoteReference w:id="60"/>
      </w:r>
      <w:r w:rsidRPr="00433FC0">
        <w:t xml:space="preserve">. </w:t>
      </w:r>
    </w:p>
    <w:p w:rsidR="00545B3D" w:rsidRPr="00433FC0" w:rsidRDefault="004632E2">
      <w:pPr>
        <w:ind w:left="-15" w:right="36"/>
      </w:pPr>
      <w:r w:rsidRPr="00433FC0">
        <w:t>Sarebbe ugualmente fuorviante però interpretare questi caratteri marittimi sempre più evidenti della politica globale solo come un ritorno alle origini della modernità, oppure ancora meno, come un idillico «spazio di flussi» che finalmente impone le proprie logiche su un sempre più segmentato «spazio di luoghi»</w:t>
      </w:r>
      <w:r w:rsidRPr="00433FC0">
        <w:rPr>
          <w:sz w:val="18"/>
          <w:vertAlign w:val="superscript"/>
        </w:rPr>
        <w:footnoteReference w:id="61"/>
      </w:r>
      <w:r w:rsidRPr="00433FC0">
        <w:t xml:space="preserve">. La proliferazione contemporanea di questi spazi fluidi – corridoi, canali, zone di libero commercio, aree </w:t>
      </w:r>
      <w:r w:rsidRPr="00433FC0">
        <w:rPr>
          <w:i/>
        </w:rPr>
        <w:t>offshore</w:t>
      </w:r>
      <w:r w:rsidRPr="00433FC0">
        <w:t xml:space="preserve"> e parchi tecnologici – all’interno dei tradizionali paesaggi del capitalismo nazionale è spesso accompagnata dalla costruzione violenta di nuovi confini, barriere e muri e da «un variegato processo di segmentazione, gerarchizzazione e coordinamento logistico» che mira a governare e controllare la libera circolazione di beni, capitali e persone in questi «spazi marittimi»</w:t>
      </w:r>
      <w:r w:rsidRPr="00433FC0">
        <w:rPr>
          <w:sz w:val="18"/>
          <w:vertAlign w:val="superscript"/>
        </w:rPr>
        <w:footnoteReference w:id="62"/>
      </w:r>
      <w:r w:rsidRPr="00433FC0">
        <w:t xml:space="preserve">. Sulle ceneri della </w:t>
      </w:r>
      <w:proofErr w:type="spellStart"/>
      <w:r w:rsidRPr="00433FC0">
        <w:t>riterritorializzazione</w:t>
      </w:r>
      <w:proofErr w:type="spellEnd"/>
      <w:r w:rsidRPr="00433FC0">
        <w:t xml:space="preserve"> moderna della politica un nuovo assemblaggio di poteri si profila all’orizzonte. Il suo equilibrio non dipende più tuttavia da una partizione fissa del mondo, ma dalla sua capacità terracquea di produrre in luoghi e momenti differenti forme eterogenee di ibridazione tra logiche politiche terrestri e marittime. </w:t>
      </w:r>
    </w:p>
    <w:sectPr w:rsidR="00545B3D" w:rsidRPr="00433FC0" w:rsidSect="001702D4">
      <w:headerReference w:type="even" r:id="rId14"/>
      <w:headerReference w:type="default" r:id="rId15"/>
      <w:footerReference w:type="even" r:id="rId16"/>
      <w:footerReference w:type="default" r:id="rId17"/>
      <w:headerReference w:type="first" r:id="rId18"/>
      <w:footerReference w:type="first" r:id="rId19"/>
      <w:pgSz w:w="11906" w:h="16838" w:code="9"/>
      <w:pgMar w:top="1440" w:right="1440" w:bottom="1440" w:left="144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780E" w:rsidRDefault="0068780E">
      <w:pPr>
        <w:spacing w:after="0" w:line="240" w:lineRule="auto"/>
      </w:pPr>
      <w:r>
        <w:separator/>
      </w:r>
    </w:p>
  </w:endnote>
  <w:endnote w:type="continuationSeparator" w:id="0">
    <w:p w:rsidR="0068780E" w:rsidRDefault="006878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780E" w:rsidRDefault="0068780E">
      <w:pPr>
        <w:spacing w:after="0" w:line="255" w:lineRule="auto"/>
        <w:ind w:right="0" w:firstLine="340"/>
      </w:pPr>
      <w:r>
        <w:separator/>
      </w:r>
    </w:p>
  </w:footnote>
  <w:footnote w:type="continuationSeparator" w:id="0">
    <w:p w:rsidR="0068780E" w:rsidRDefault="0068780E">
      <w:pPr>
        <w:spacing w:after="0" w:line="255" w:lineRule="auto"/>
        <w:ind w:right="0" w:firstLine="340"/>
      </w:pPr>
      <w:r>
        <w:continuationSeparator/>
      </w:r>
    </w:p>
  </w:footnote>
  <w:footnote w:id="1">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C. Schmitt, </w:t>
      </w:r>
      <w:r w:rsidRPr="00433FC0">
        <w:rPr>
          <w:i/>
          <w:sz w:val="18"/>
          <w:szCs w:val="18"/>
        </w:rPr>
        <w:t>Il nomos della terra nel diritto internazionale dello «</w:t>
      </w:r>
      <w:proofErr w:type="spellStart"/>
      <w:r w:rsidRPr="00433FC0">
        <w:rPr>
          <w:i/>
          <w:sz w:val="18"/>
          <w:szCs w:val="18"/>
        </w:rPr>
        <w:t>Jus</w:t>
      </w:r>
      <w:proofErr w:type="spellEnd"/>
      <w:r w:rsidRPr="00433FC0">
        <w:rPr>
          <w:i/>
          <w:sz w:val="18"/>
          <w:szCs w:val="18"/>
        </w:rPr>
        <w:t xml:space="preserve"> publicum </w:t>
      </w:r>
      <w:proofErr w:type="spellStart"/>
      <w:r w:rsidRPr="00433FC0">
        <w:rPr>
          <w:i/>
          <w:sz w:val="18"/>
          <w:szCs w:val="18"/>
        </w:rPr>
        <w:t>Europaeum</w:t>
      </w:r>
      <w:proofErr w:type="spellEnd"/>
      <w:r w:rsidRPr="00433FC0">
        <w:rPr>
          <w:i/>
          <w:sz w:val="18"/>
          <w:szCs w:val="18"/>
        </w:rPr>
        <w:t>»</w:t>
      </w:r>
      <w:r w:rsidRPr="00433FC0">
        <w:rPr>
          <w:sz w:val="18"/>
          <w:szCs w:val="18"/>
        </w:rPr>
        <w:t xml:space="preserve">, Milano, Adelphi, 1991 e Id., </w:t>
      </w:r>
      <w:r w:rsidRPr="00433FC0">
        <w:rPr>
          <w:i/>
          <w:sz w:val="18"/>
          <w:szCs w:val="18"/>
        </w:rPr>
        <w:t>Terra e Mare</w:t>
      </w:r>
      <w:r w:rsidRPr="00433FC0">
        <w:rPr>
          <w:sz w:val="18"/>
          <w:szCs w:val="18"/>
        </w:rPr>
        <w:t xml:space="preserve">, Milano, Adelphi, 2002. </w:t>
      </w:r>
    </w:p>
  </w:footnote>
  <w:footnote w:id="2">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Sulle categorie spaziali di Schmitt si vedano </w:t>
      </w:r>
      <w:proofErr w:type="spellStart"/>
      <w:r w:rsidRPr="00433FC0">
        <w:rPr>
          <w:i/>
          <w:sz w:val="18"/>
          <w:szCs w:val="18"/>
        </w:rPr>
        <w:t>Spatiality</w:t>
      </w:r>
      <w:proofErr w:type="spellEnd"/>
      <w:r w:rsidRPr="00433FC0">
        <w:rPr>
          <w:sz w:val="18"/>
          <w:szCs w:val="18"/>
        </w:rPr>
        <w:t xml:space="preserve">, </w:t>
      </w:r>
      <w:proofErr w:type="spellStart"/>
      <w:r w:rsidRPr="00433FC0">
        <w:rPr>
          <w:i/>
          <w:sz w:val="18"/>
          <w:szCs w:val="18"/>
        </w:rPr>
        <w:t>Sovereignty</w:t>
      </w:r>
      <w:proofErr w:type="spellEnd"/>
      <w:r w:rsidRPr="00433FC0">
        <w:rPr>
          <w:i/>
          <w:sz w:val="18"/>
          <w:szCs w:val="18"/>
        </w:rPr>
        <w:t xml:space="preserve"> and Carl Schmitt</w:t>
      </w:r>
      <w:r w:rsidRPr="00433FC0">
        <w:rPr>
          <w:sz w:val="18"/>
          <w:szCs w:val="18"/>
        </w:rPr>
        <w:t xml:space="preserve">: </w:t>
      </w:r>
      <w:proofErr w:type="spellStart"/>
      <w:r w:rsidRPr="00433FC0">
        <w:rPr>
          <w:i/>
          <w:sz w:val="18"/>
          <w:szCs w:val="18"/>
        </w:rPr>
        <w:t>Geographies</w:t>
      </w:r>
      <w:proofErr w:type="spellEnd"/>
      <w:r w:rsidRPr="00433FC0">
        <w:rPr>
          <w:i/>
          <w:sz w:val="18"/>
          <w:szCs w:val="18"/>
        </w:rPr>
        <w:t xml:space="preserve"> of the Nomos</w:t>
      </w:r>
      <w:r w:rsidRPr="00433FC0">
        <w:rPr>
          <w:sz w:val="18"/>
          <w:szCs w:val="18"/>
        </w:rPr>
        <w:t xml:space="preserve">, ed. S. </w:t>
      </w:r>
      <w:proofErr w:type="spellStart"/>
      <w:r w:rsidRPr="00433FC0">
        <w:rPr>
          <w:sz w:val="18"/>
          <w:szCs w:val="18"/>
        </w:rPr>
        <w:t>Legg</w:t>
      </w:r>
      <w:proofErr w:type="spellEnd"/>
      <w:r w:rsidRPr="00433FC0">
        <w:rPr>
          <w:sz w:val="18"/>
          <w:szCs w:val="18"/>
        </w:rPr>
        <w:t xml:space="preserve">, New York, </w:t>
      </w:r>
      <w:proofErr w:type="spellStart"/>
      <w:r w:rsidRPr="00433FC0">
        <w:rPr>
          <w:sz w:val="18"/>
          <w:szCs w:val="18"/>
        </w:rPr>
        <w:t>Routledge</w:t>
      </w:r>
      <w:proofErr w:type="spellEnd"/>
      <w:r w:rsidRPr="00433FC0">
        <w:rPr>
          <w:sz w:val="18"/>
          <w:szCs w:val="18"/>
        </w:rPr>
        <w:t xml:space="preserve">, 2011 e G. </w:t>
      </w:r>
      <w:proofErr w:type="spellStart"/>
      <w:r w:rsidRPr="00433FC0">
        <w:rPr>
          <w:sz w:val="18"/>
          <w:szCs w:val="18"/>
        </w:rPr>
        <w:t>Tavadze</w:t>
      </w:r>
      <w:proofErr w:type="spellEnd"/>
      <w:r w:rsidRPr="00433FC0">
        <w:rPr>
          <w:sz w:val="18"/>
          <w:szCs w:val="18"/>
        </w:rPr>
        <w:t xml:space="preserve">, </w:t>
      </w:r>
      <w:r w:rsidRPr="00433FC0">
        <w:rPr>
          <w:i/>
          <w:sz w:val="18"/>
          <w:szCs w:val="18"/>
        </w:rPr>
        <w:t>Land and Sea</w:t>
      </w:r>
      <w:r w:rsidRPr="00433FC0">
        <w:rPr>
          <w:sz w:val="18"/>
          <w:szCs w:val="18"/>
        </w:rPr>
        <w:t xml:space="preserve">. </w:t>
      </w:r>
      <w:r w:rsidRPr="00433FC0">
        <w:rPr>
          <w:i/>
          <w:sz w:val="18"/>
          <w:szCs w:val="18"/>
        </w:rPr>
        <w:t xml:space="preserve">Carl </w:t>
      </w:r>
      <w:proofErr w:type="spellStart"/>
      <w:r w:rsidRPr="00433FC0">
        <w:rPr>
          <w:i/>
          <w:sz w:val="18"/>
          <w:szCs w:val="18"/>
        </w:rPr>
        <w:t>Schmitt’s</w:t>
      </w:r>
      <w:proofErr w:type="spellEnd"/>
      <w:r w:rsidRPr="00433FC0">
        <w:rPr>
          <w:i/>
          <w:sz w:val="18"/>
          <w:szCs w:val="18"/>
        </w:rPr>
        <w:t xml:space="preserve"> </w:t>
      </w:r>
      <w:proofErr w:type="spellStart"/>
      <w:r w:rsidRPr="00433FC0">
        <w:rPr>
          <w:i/>
          <w:sz w:val="18"/>
          <w:szCs w:val="18"/>
        </w:rPr>
        <w:t>Philosophical</w:t>
      </w:r>
      <w:proofErr w:type="spellEnd"/>
      <w:r w:rsidRPr="00433FC0">
        <w:rPr>
          <w:i/>
          <w:sz w:val="18"/>
          <w:szCs w:val="18"/>
        </w:rPr>
        <w:t xml:space="preserve"> </w:t>
      </w:r>
      <w:proofErr w:type="spellStart"/>
      <w:r w:rsidRPr="00433FC0">
        <w:rPr>
          <w:i/>
          <w:sz w:val="18"/>
          <w:szCs w:val="18"/>
        </w:rPr>
        <w:t>Geography</w:t>
      </w:r>
      <w:proofErr w:type="spellEnd"/>
      <w:r w:rsidRPr="00433FC0">
        <w:rPr>
          <w:sz w:val="18"/>
          <w:szCs w:val="18"/>
        </w:rPr>
        <w:t>, in «</w:t>
      </w:r>
      <w:proofErr w:type="spellStart"/>
      <w:r w:rsidRPr="00433FC0">
        <w:rPr>
          <w:sz w:val="18"/>
          <w:szCs w:val="18"/>
        </w:rPr>
        <w:t>European</w:t>
      </w:r>
      <w:proofErr w:type="spellEnd"/>
      <w:r w:rsidRPr="00433FC0">
        <w:rPr>
          <w:sz w:val="18"/>
          <w:szCs w:val="18"/>
        </w:rPr>
        <w:t xml:space="preserve"> </w:t>
      </w:r>
      <w:proofErr w:type="spellStart"/>
      <w:r w:rsidRPr="00433FC0">
        <w:rPr>
          <w:sz w:val="18"/>
          <w:szCs w:val="18"/>
        </w:rPr>
        <w:t>Scientific</w:t>
      </w:r>
      <w:proofErr w:type="spellEnd"/>
      <w:r w:rsidRPr="00433FC0">
        <w:rPr>
          <w:sz w:val="18"/>
          <w:szCs w:val="18"/>
        </w:rPr>
        <w:t xml:space="preserve"> Journal», </w:t>
      </w:r>
      <w:proofErr w:type="spellStart"/>
      <w:r w:rsidRPr="00433FC0">
        <w:rPr>
          <w:sz w:val="18"/>
          <w:szCs w:val="18"/>
        </w:rPr>
        <w:t>July</w:t>
      </w:r>
      <w:proofErr w:type="spellEnd"/>
      <w:r w:rsidRPr="00433FC0">
        <w:rPr>
          <w:sz w:val="18"/>
          <w:szCs w:val="18"/>
        </w:rPr>
        <w:t xml:space="preserve"> 2013, pp. 44-53. Ma, più in generale, imprescindibili sono C. Galli, </w:t>
      </w:r>
      <w:r w:rsidRPr="00433FC0">
        <w:rPr>
          <w:i/>
          <w:sz w:val="18"/>
          <w:szCs w:val="18"/>
        </w:rPr>
        <w:t>Genealogia della politica</w:t>
      </w:r>
      <w:r w:rsidRPr="00433FC0">
        <w:rPr>
          <w:sz w:val="18"/>
          <w:szCs w:val="18"/>
        </w:rPr>
        <w:t xml:space="preserve">. </w:t>
      </w:r>
      <w:r w:rsidRPr="00433FC0">
        <w:rPr>
          <w:i/>
          <w:sz w:val="18"/>
          <w:szCs w:val="18"/>
        </w:rPr>
        <w:t>Carl Schmitt e la crisi del pensiero politico moderno</w:t>
      </w:r>
      <w:r w:rsidRPr="00433FC0">
        <w:rPr>
          <w:sz w:val="18"/>
          <w:szCs w:val="18"/>
        </w:rPr>
        <w:t>, Bologna, Il Mulino, 2010</w:t>
      </w:r>
      <w:r w:rsidRPr="00433FC0">
        <w:rPr>
          <w:sz w:val="18"/>
          <w:szCs w:val="18"/>
          <w:vertAlign w:val="superscript"/>
        </w:rPr>
        <w:t>2</w:t>
      </w:r>
      <w:r w:rsidRPr="00433FC0">
        <w:rPr>
          <w:sz w:val="18"/>
          <w:szCs w:val="18"/>
        </w:rPr>
        <w:t xml:space="preserve"> e Id., </w:t>
      </w:r>
      <w:r w:rsidRPr="00433FC0">
        <w:rPr>
          <w:i/>
          <w:sz w:val="18"/>
          <w:szCs w:val="18"/>
        </w:rPr>
        <w:t>Lo sguardo di Giano</w:t>
      </w:r>
      <w:r w:rsidRPr="00433FC0">
        <w:rPr>
          <w:sz w:val="18"/>
          <w:szCs w:val="18"/>
        </w:rPr>
        <w:t xml:space="preserve">, Bologna, Il Mulino, 2008. </w:t>
      </w:r>
    </w:p>
  </w:footnote>
  <w:footnote w:id="3">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D. </w:t>
      </w:r>
      <w:proofErr w:type="spellStart"/>
      <w:r w:rsidRPr="00433FC0">
        <w:rPr>
          <w:sz w:val="18"/>
          <w:szCs w:val="18"/>
        </w:rPr>
        <w:t>Chakrabarty</w:t>
      </w:r>
      <w:proofErr w:type="spellEnd"/>
      <w:r w:rsidRPr="00433FC0">
        <w:rPr>
          <w:sz w:val="18"/>
          <w:szCs w:val="18"/>
        </w:rPr>
        <w:t xml:space="preserve">, </w:t>
      </w:r>
      <w:r w:rsidRPr="00433FC0">
        <w:rPr>
          <w:i/>
          <w:sz w:val="18"/>
          <w:szCs w:val="18"/>
        </w:rPr>
        <w:t>Provincializzare l’Europa</w:t>
      </w:r>
      <w:r w:rsidRPr="00433FC0">
        <w:rPr>
          <w:sz w:val="18"/>
          <w:szCs w:val="18"/>
        </w:rPr>
        <w:t xml:space="preserve">, Roma, </w:t>
      </w:r>
      <w:proofErr w:type="spellStart"/>
      <w:r w:rsidRPr="00433FC0">
        <w:rPr>
          <w:sz w:val="18"/>
          <w:szCs w:val="18"/>
        </w:rPr>
        <w:t>Meltemi</w:t>
      </w:r>
      <w:proofErr w:type="spellEnd"/>
      <w:r w:rsidRPr="00433FC0">
        <w:rPr>
          <w:sz w:val="18"/>
          <w:szCs w:val="18"/>
        </w:rPr>
        <w:t xml:space="preserve">, 2004. </w:t>
      </w:r>
    </w:p>
  </w:footnote>
  <w:footnote w:id="4">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Per usi diversi delle categorie di «Terra» e «Mare» cfr. C.L. Connery, </w:t>
      </w:r>
      <w:proofErr w:type="spellStart"/>
      <w:r w:rsidRPr="00433FC0">
        <w:rPr>
          <w:i/>
          <w:sz w:val="18"/>
          <w:szCs w:val="18"/>
        </w:rPr>
        <w:t>Ideologies</w:t>
      </w:r>
      <w:proofErr w:type="spellEnd"/>
      <w:r w:rsidRPr="00433FC0">
        <w:rPr>
          <w:i/>
          <w:sz w:val="18"/>
          <w:szCs w:val="18"/>
        </w:rPr>
        <w:t xml:space="preserve"> of Land and Sea: Alfred </w:t>
      </w:r>
      <w:proofErr w:type="spellStart"/>
      <w:r w:rsidRPr="00433FC0">
        <w:rPr>
          <w:i/>
          <w:sz w:val="18"/>
          <w:szCs w:val="18"/>
        </w:rPr>
        <w:t>Thayer</w:t>
      </w:r>
      <w:proofErr w:type="spellEnd"/>
      <w:r w:rsidRPr="00433FC0">
        <w:rPr>
          <w:i/>
          <w:sz w:val="18"/>
          <w:szCs w:val="18"/>
        </w:rPr>
        <w:t xml:space="preserve"> </w:t>
      </w:r>
      <w:proofErr w:type="spellStart"/>
      <w:r w:rsidRPr="00433FC0">
        <w:rPr>
          <w:i/>
          <w:sz w:val="18"/>
          <w:szCs w:val="18"/>
        </w:rPr>
        <w:t>Mahan</w:t>
      </w:r>
      <w:proofErr w:type="spellEnd"/>
      <w:r w:rsidRPr="00433FC0">
        <w:rPr>
          <w:i/>
          <w:sz w:val="18"/>
          <w:szCs w:val="18"/>
        </w:rPr>
        <w:t xml:space="preserve">, Carl Schmitt, and the </w:t>
      </w:r>
      <w:proofErr w:type="spellStart"/>
      <w:r w:rsidRPr="00433FC0">
        <w:rPr>
          <w:i/>
          <w:sz w:val="18"/>
          <w:szCs w:val="18"/>
        </w:rPr>
        <w:t>Shaping</w:t>
      </w:r>
      <w:proofErr w:type="spellEnd"/>
      <w:r w:rsidRPr="00433FC0">
        <w:rPr>
          <w:i/>
          <w:sz w:val="18"/>
          <w:szCs w:val="18"/>
        </w:rPr>
        <w:t xml:space="preserve"> of the Global </w:t>
      </w:r>
      <w:proofErr w:type="spellStart"/>
      <w:r w:rsidRPr="00433FC0">
        <w:rPr>
          <w:i/>
          <w:sz w:val="18"/>
          <w:szCs w:val="18"/>
        </w:rPr>
        <w:t>Myth</w:t>
      </w:r>
      <w:proofErr w:type="spellEnd"/>
      <w:r w:rsidRPr="00433FC0">
        <w:rPr>
          <w:i/>
          <w:sz w:val="18"/>
          <w:szCs w:val="18"/>
        </w:rPr>
        <w:t xml:space="preserve"> </w:t>
      </w:r>
      <w:proofErr w:type="spellStart"/>
      <w:r w:rsidRPr="00433FC0">
        <w:rPr>
          <w:i/>
          <w:sz w:val="18"/>
          <w:szCs w:val="18"/>
        </w:rPr>
        <w:t>Elements</w:t>
      </w:r>
      <w:proofErr w:type="spellEnd"/>
      <w:r w:rsidRPr="00433FC0">
        <w:rPr>
          <w:sz w:val="18"/>
          <w:szCs w:val="18"/>
        </w:rPr>
        <w:t>, in «</w:t>
      </w:r>
      <w:proofErr w:type="spellStart"/>
      <w:r w:rsidRPr="00433FC0">
        <w:rPr>
          <w:sz w:val="18"/>
          <w:szCs w:val="18"/>
        </w:rPr>
        <w:t>Boundary</w:t>
      </w:r>
      <w:proofErr w:type="spellEnd"/>
      <w:r w:rsidRPr="00433FC0">
        <w:rPr>
          <w:sz w:val="18"/>
          <w:szCs w:val="18"/>
        </w:rPr>
        <w:t xml:space="preserve"> 2», 2001, vol. 28, n. 2, pp. 173-201; D. Armitage, </w:t>
      </w:r>
      <w:r w:rsidRPr="00433FC0">
        <w:rPr>
          <w:i/>
          <w:sz w:val="18"/>
          <w:szCs w:val="18"/>
        </w:rPr>
        <w:t xml:space="preserve">The </w:t>
      </w:r>
      <w:proofErr w:type="spellStart"/>
      <w:r w:rsidRPr="00433FC0">
        <w:rPr>
          <w:i/>
          <w:sz w:val="18"/>
          <w:szCs w:val="18"/>
        </w:rPr>
        <w:t>Elephant</w:t>
      </w:r>
      <w:proofErr w:type="spellEnd"/>
      <w:r w:rsidRPr="00433FC0">
        <w:rPr>
          <w:i/>
          <w:sz w:val="18"/>
          <w:szCs w:val="18"/>
        </w:rPr>
        <w:t xml:space="preserve"> and the Whale: </w:t>
      </w:r>
    </w:p>
    <w:p w:rsidR="00545B3D" w:rsidRPr="00433FC0" w:rsidRDefault="004632E2" w:rsidP="00433FC0">
      <w:pPr>
        <w:pStyle w:val="footnotedescription"/>
        <w:spacing w:line="240" w:lineRule="auto"/>
        <w:ind w:firstLine="0"/>
        <w:jc w:val="both"/>
        <w:rPr>
          <w:sz w:val="18"/>
          <w:szCs w:val="18"/>
        </w:rPr>
      </w:pPr>
      <w:r w:rsidRPr="00433FC0">
        <w:rPr>
          <w:i/>
          <w:sz w:val="18"/>
          <w:szCs w:val="18"/>
        </w:rPr>
        <w:t xml:space="preserve">Empires of Land and Sea, </w:t>
      </w:r>
      <w:r w:rsidRPr="00433FC0">
        <w:rPr>
          <w:sz w:val="18"/>
          <w:szCs w:val="18"/>
        </w:rPr>
        <w:t>in Id.,</w:t>
      </w:r>
      <w:r w:rsidRPr="00433FC0">
        <w:rPr>
          <w:i/>
          <w:sz w:val="18"/>
          <w:szCs w:val="18"/>
        </w:rPr>
        <w:t xml:space="preserve"> </w:t>
      </w:r>
      <w:proofErr w:type="spellStart"/>
      <w:r w:rsidRPr="00433FC0">
        <w:rPr>
          <w:i/>
          <w:sz w:val="18"/>
          <w:szCs w:val="18"/>
        </w:rPr>
        <w:t>Foundations</w:t>
      </w:r>
      <w:proofErr w:type="spellEnd"/>
      <w:r w:rsidRPr="00433FC0">
        <w:rPr>
          <w:i/>
          <w:sz w:val="18"/>
          <w:szCs w:val="18"/>
        </w:rPr>
        <w:t xml:space="preserve"> of </w:t>
      </w:r>
      <w:proofErr w:type="spellStart"/>
      <w:r w:rsidRPr="00433FC0">
        <w:rPr>
          <w:i/>
          <w:sz w:val="18"/>
          <w:szCs w:val="18"/>
        </w:rPr>
        <w:t>Modern</w:t>
      </w:r>
      <w:proofErr w:type="spellEnd"/>
      <w:r w:rsidRPr="00433FC0">
        <w:rPr>
          <w:i/>
          <w:sz w:val="18"/>
          <w:szCs w:val="18"/>
        </w:rPr>
        <w:t xml:space="preserve"> International Thought</w:t>
      </w:r>
      <w:r w:rsidRPr="00433FC0">
        <w:rPr>
          <w:sz w:val="18"/>
          <w:szCs w:val="18"/>
        </w:rPr>
        <w:t xml:space="preserve">, Cambridge, Cambridge </w:t>
      </w:r>
      <w:proofErr w:type="spellStart"/>
      <w:r w:rsidRPr="00433FC0">
        <w:rPr>
          <w:sz w:val="18"/>
          <w:szCs w:val="18"/>
        </w:rPr>
        <w:t>University</w:t>
      </w:r>
      <w:proofErr w:type="spellEnd"/>
      <w:r w:rsidRPr="00433FC0">
        <w:rPr>
          <w:sz w:val="18"/>
          <w:szCs w:val="18"/>
        </w:rPr>
        <w:t xml:space="preserve"> Press, 2013, pp. 46-56. Per uno studio generale dei fondamenti spaziali della politica moderna, invece, C. Galli, </w:t>
      </w:r>
      <w:r w:rsidRPr="00433FC0">
        <w:rPr>
          <w:i/>
          <w:sz w:val="18"/>
          <w:szCs w:val="18"/>
        </w:rPr>
        <w:t>Spazi politici</w:t>
      </w:r>
      <w:r w:rsidRPr="00433FC0">
        <w:rPr>
          <w:sz w:val="18"/>
          <w:szCs w:val="18"/>
        </w:rPr>
        <w:t xml:space="preserve">, Bologna, Il Mulino, 2000. </w:t>
      </w:r>
    </w:p>
  </w:footnote>
  <w:footnote w:id="5">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P. </w:t>
      </w:r>
      <w:proofErr w:type="spellStart"/>
      <w:r w:rsidRPr="00433FC0">
        <w:rPr>
          <w:sz w:val="18"/>
          <w:szCs w:val="18"/>
        </w:rPr>
        <w:t>Linebaugh</w:t>
      </w:r>
      <w:proofErr w:type="spellEnd"/>
      <w:r w:rsidRPr="00433FC0">
        <w:rPr>
          <w:sz w:val="18"/>
          <w:szCs w:val="18"/>
        </w:rPr>
        <w:t xml:space="preserve"> – M. </w:t>
      </w:r>
      <w:proofErr w:type="spellStart"/>
      <w:r w:rsidRPr="00433FC0">
        <w:rPr>
          <w:sz w:val="18"/>
          <w:szCs w:val="18"/>
        </w:rPr>
        <w:t>Rediker</w:t>
      </w:r>
      <w:proofErr w:type="spellEnd"/>
      <w:r w:rsidRPr="00433FC0">
        <w:rPr>
          <w:sz w:val="18"/>
          <w:szCs w:val="18"/>
        </w:rPr>
        <w:t xml:space="preserve">, </w:t>
      </w:r>
      <w:r w:rsidRPr="00433FC0">
        <w:rPr>
          <w:i/>
          <w:sz w:val="18"/>
          <w:szCs w:val="18"/>
        </w:rPr>
        <w:t>I ribelli dell’Atlantico</w:t>
      </w:r>
      <w:r w:rsidRPr="00433FC0">
        <w:rPr>
          <w:sz w:val="18"/>
          <w:szCs w:val="18"/>
        </w:rPr>
        <w:t xml:space="preserve">, </w:t>
      </w:r>
      <w:r w:rsidRPr="00433FC0">
        <w:rPr>
          <w:i/>
          <w:sz w:val="18"/>
          <w:szCs w:val="18"/>
        </w:rPr>
        <w:t>la storia perduta di un’utopia libertaria</w:t>
      </w:r>
      <w:r w:rsidRPr="00433FC0">
        <w:rPr>
          <w:sz w:val="18"/>
          <w:szCs w:val="18"/>
        </w:rPr>
        <w:t xml:space="preserve">, Milano, Feltrinelli, 2004. </w:t>
      </w:r>
    </w:p>
  </w:footnote>
  <w:footnote w:id="6">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R. Laudani, </w:t>
      </w:r>
      <w:r w:rsidRPr="00433FC0">
        <w:rPr>
          <w:i/>
          <w:sz w:val="18"/>
          <w:szCs w:val="18"/>
        </w:rPr>
        <w:t>Disobbedienza</w:t>
      </w:r>
      <w:r w:rsidRPr="00433FC0">
        <w:rPr>
          <w:sz w:val="18"/>
          <w:szCs w:val="18"/>
        </w:rPr>
        <w:t xml:space="preserve">, Bologna, Il Mulino, 2010, cap. II. </w:t>
      </w:r>
    </w:p>
  </w:footnote>
  <w:footnote w:id="7">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P. Stern, </w:t>
      </w:r>
      <w:r w:rsidRPr="00433FC0">
        <w:rPr>
          <w:i/>
          <w:sz w:val="18"/>
          <w:szCs w:val="18"/>
        </w:rPr>
        <w:t>The Company-State</w:t>
      </w:r>
      <w:r w:rsidRPr="00433FC0">
        <w:rPr>
          <w:sz w:val="18"/>
          <w:szCs w:val="18"/>
        </w:rPr>
        <w:t xml:space="preserve">. </w:t>
      </w:r>
      <w:r w:rsidRPr="00433FC0">
        <w:rPr>
          <w:i/>
          <w:sz w:val="18"/>
          <w:szCs w:val="18"/>
        </w:rPr>
        <w:t xml:space="preserve">Corporate </w:t>
      </w:r>
      <w:proofErr w:type="spellStart"/>
      <w:r w:rsidRPr="00433FC0">
        <w:rPr>
          <w:i/>
          <w:sz w:val="18"/>
          <w:szCs w:val="18"/>
        </w:rPr>
        <w:t>Sovereignty</w:t>
      </w:r>
      <w:proofErr w:type="spellEnd"/>
      <w:r w:rsidRPr="00433FC0">
        <w:rPr>
          <w:i/>
          <w:sz w:val="18"/>
          <w:szCs w:val="18"/>
        </w:rPr>
        <w:t xml:space="preserve"> and the Early </w:t>
      </w:r>
      <w:proofErr w:type="spellStart"/>
      <w:r w:rsidRPr="00433FC0">
        <w:rPr>
          <w:i/>
          <w:sz w:val="18"/>
          <w:szCs w:val="18"/>
        </w:rPr>
        <w:t>Modern</w:t>
      </w:r>
      <w:proofErr w:type="spellEnd"/>
      <w:r w:rsidRPr="00433FC0">
        <w:rPr>
          <w:i/>
          <w:sz w:val="18"/>
          <w:szCs w:val="18"/>
        </w:rPr>
        <w:t xml:space="preserve"> </w:t>
      </w:r>
      <w:proofErr w:type="spellStart"/>
      <w:r w:rsidRPr="00433FC0">
        <w:rPr>
          <w:i/>
          <w:sz w:val="18"/>
          <w:szCs w:val="18"/>
        </w:rPr>
        <w:t>Foundations</w:t>
      </w:r>
      <w:proofErr w:type="spellEnd"/>
      <w:r w:rsidRPr="00433FC0">
        <w:rPr>
          <w:i/>
          <w:sz w:val="18"/>
          <w:szCs w:val="18"/>
        </w:rPr>
        <w:t xml:space="preserve"> of the </w:t>
      </w:r>
      <w:proofErr w:type="spellStart"/>
      <w:r w:rsidRPr="00433FC0">
        <w:rPr>
          <w:i/>
          <w:sz w:val="18"/>
          <w:szCs w:val="18"/>
        </w:rPr>
        <w:t>British</w:t>
      </w:r>
      <w:proofErr w:type="spellEnd"/>
      <w:r w:rsidRPr="00433FC0">
        <w:rPr>
          <w:i/>
          <w:sz w:val="18"/>
          <w:szCs w:val="18"/>
        </w:rPr>
        <w:t xml:space="preserve"> Empire in India</w:t>
      </w:r>
      <w:r w:rsidRPr="00433FC0">
        <w:rPr>
          <w:sz w:val="18"/>
          <w:szCs w:val="18"/>
        </w:rPr>
        <w:t xml:space="preserve">, Oxford, Oxford </w:t>
      </w:r>
      <w:proofErr w:type="spellStart"/>
      <w:r w:rsidRPr="00433FC0">
        <w:rPr>
          <w:sz w:val="18"/>
          <w:szCs w:val="18"/>
        </w:rPr>
        <w:t>University</w:t>
      </w:r>
      <w:proofErr w:type="spellEnd"/>
      <w:r w:rsidRPr="00433FC0">
        <w:rPr>
          <w:sz w:val="18"/>
          <w:szCs w:val="18"/>
        </w:rPr>
        <w:t xml:space="preserve"> Press, 2011, p. 6. </w:t>
      </w:r>
    </w:p>
  </w:footnote>
  <w:footnote w:id="8">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Una versione del 1652 è consultabile in rete al seguente indirizzo: http://nla.gov.au/ nla.map-ra10-s12. </w:t>
      </w:r>
    </w:p>
  </w:footnote>
  <w:footnote w:id="9">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Naturalmente, questo mondo era a quell’altezza ben più che meramente atlantico, e le sue logiche operavano già su scala globale. Tuttavia, in questo spazio globale, l’Atlantico, e più precisamente la relazione tra Europa e Americhe, è emerso come il laboratorio particolare in cui è stata forgiata la teoria moderna della sovranità e la sua pretesa validità universale come modello per il mondo intero. </w:t>
      </w:r>
    </w:p>
  </w:footnote>
  <w:footnote w:id="10">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L’immagine è disponibile online su Wikipedia: http://commons.wikimedia.org/wiki/ </w:t>
      </w:r>
      <w:proofErr w:type="gramStart"/>
      <w:r w:rsidRPr="00433FC0">
        <w:rPr>
          <w:sz w:val="18"/>
          <w:szCs w:val="18"/>
        </w:rPr>
        <w:t>File:Nova</w:t>
      </w:r>
      <w:proofErr w:type="gramEnd"/>
      <w:r w:rsidRPr="00433FC0">
        <w:rPr>
          <w:sz w:val="18"/>
          <w:szCs w:val="18"/>
        </w:rPr>
        <w:t>_totius_Terrarum_Orbis_geographica_ac_hydrographica_tabula_(Hendrik_Hondius) _balanced.jpg</w:t>
      </w:r>
    </w:p>
  </w:footnote>
  <w:footnote w:id="11">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G. </w:t>
      </w:r>
      <w:proofErr w:type="spellStart"/>
      <w:r w:rsidRPr="00433FC0">
        <w:rPr>
          <w:sz w:val="18"/>
          <w:szCs w:val="18"/>
        </w:rPr>
        <w:t>Deleuze</w:t>
      </w:r>
      <w:proofErr w:type="spellEnd"/>
      <w:r w:rsidRPr="00433FC0">
        <w:rPr>
          <w:sz w:val="18"/>
          <w:szCs w:val="18"/>
        </w:rPr>
        <w:t xml:space="preserve"> – F. </w:t>
      </w:r>
      <w:proofErr w:type="spellStart"/>
      <w:r w:rsidRPr="00433FC0">
        <w:rPr>
          <w:sz w:val="18"/>
          <w:szCs w:val="18"/>
        </w:rPr>
        <w:t>Guattari</w:t>
      </w:r>
      <w:proofErr w:type="spellEnd"/>
      <w:r w:rsidRPr="00433FC0">
        <w:rPr>
          <w:sz w:val="18"/>
          <w:szCs w:val="18"/>
        </w:rPr>
        <w:t xml:space="preserve">, </w:t>
      </w:r>
      <w:r w:rsidRPr="00433FC0">
        <w:rPr>
          <w:i/>
          <w:sz w:val="18"/>
          <w:szCs w:val="18"/>
        </w:rPr>
        <w:t>L’anti-Edipo</w:t>
      </w:r>
      <w:r w:rsidRPr="00433FC0">
        <w:rPr>
          <w:sz w:val="18"/>
          <w:szCs w:val="18"/>
        </w:rPr>
        <w:t xml:space="preserve">: </w:t>
      </w:r>
      <w:r w:rsidRPr="00433FC0">
        <w:rPr>
          <w:i/>
          <w:sz w:val="18"/>
          <w:szCs w:val="18"/>
        </w:rPr>
        <w:t>capitalismo e schizofrenia</w:t>
      </w:r>
      <w:r w:rsidRPr="00433FC0">
        <w:rPr>
          <w:sz w:val="18"/>
          <w:szCs w:val="18"/>
        </w:rPr>
        <w:t xml:space="preserve">, Torino, Einaudi, 1975 e </w:t>
      </w:r>
      <w:proofErr w:type="spellStart"/>
      <w:r w:rsidRPr="00433FC0">
        <w:rPr>
          <w:i/>
          <w:sz w:val="18"/>
          <w:szCs w:val="18"/>
        </w:rPr>
        <w:t>Millepiani</w:t>
      </w:r>
      <w:proofErr w:type="spellEnd"/>
      <w:r w:rsidRPr="00433FC0">
        <w:rPr>
          <w:sz w:val="18"/>
          <w:szCs w:val="18"/>
        </w:rPr>
        <w:t xml:space="preserve">, Roma, </w:t>
      </w:r>
      <w:proofErr w:type="spellStart"/>
      <w:r w:rsidRPr="00433FC0">
        <w:rPr>
          <w:sz w:val="18"/>
          <w:szCs w:val="18"/>
        </w:rPr>
        <w:t>Castelvecchi</w:t>
      </w:r>
      <w:proofErr w:type="spellEnd"/>
      <w:r w:rsidRPr="00433FC0">
        <w:rPr>
          <w:sz w:val="18"/>
          <w:szCs w:val="18"/>
        </w:rPr>
        <w:t xml:space="preserve">, 2003. </w:t>
      </w:r>
    </w:p>
  </w:footnote>
  <w:footnote w:id="12">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J. </w:t>
      </w:r>
      <w:proofErr w:type="spellStart"/>
      <w:r w:rsidRPr="00433FC0">
        <w:rPr>
          <w:sz w:val="18"/>
          <w:szCs w:val="18"/>
        </w:rPr>
        <w:t>Donoghue</w:t>
      </w:r>
      <w:proofErr w:type="spellEnd"/>
      <w:r w:rsidRPr="00433FC0">
        <w:rPr>
          <w:sz w:val="18"/>
          <w:szCs w:val="18"/>
        </w:rPr>
        <w:t xml:space="preserve">, </w:t>
      </w:r>
      <w:proofErr w:type="spellStart"/>
      <w:r w:rsidRPr="00433FC0">
        <w:rPr>
          <w:i/>
          <w:sz w:val="18"/>
          <w:szCs w:val="18"/>
        </w:rPr>
        <w:t>Fire</w:t>
      </w:r>
      <w:proofErr w:type="spellEnd"/>
      <w:r w:rsidRPr="00433FC0">
        <w:rPr>
          <w:i/>
          <w:sz w:val="18"/>
          <w:szCs w:val="18"/>
        </w:rPr>
        <w:t xml:space="preserve"> Under the </w:t>
      </w:r>
      <w:proofErr w:type="spellStart"/>
      <w:r w:rsidRPr="00433FC0">
        <w:rPr>
          <w:i/>
          <w:sz w:val="18"/>
          <w:szCs w:val="18"/>
        </w:rPr>
        <w:t>Ashes</w:t>
      </w:r>
      <w:proofErr w:type="spellEnd"/>
      <w:r w:rsidRPr="00433FC0">
        <w:rPr>
          <w:sz w:val="18"/>
          <w:szCs w:val="18"/>
        </w:rPr>
        <w:t xml:space="preserve">: </w:t>
      </w:r>
      <w:r w:rsidRPr="00433FC0">
        <w:rPr>
          <w:i/>
          <w:sz w:val="18"/>
          <w:szCs w:val="18"/>
        </w:rPr>
        <w:t>Sn Atlantic history of the English revolution</w:t>
      </w:r>
      <w:r w:rsidRPr="00433FC0">
        <w:rPr>
          <w:sz w:val="18"/>
          <w:szCs w:val="18"/>
        </w:rPr>
        <w:t xml:space="preserve">, Chicago, The </w:t>
      </w:r>
      <w:proofErr w:type="spellStart"/>
      <w:r w:rsidRPr="00433FC0">
        <w:rPr>
          <w:sz w:val="18"/>
          <w:szCs w:val="18"/>
        </w:rPr>
        <w:t>University</w:t>
      </w:r>
      <w:proofErr w:type="spellEnd"/>
      <w:r w:rsidRPr="00433FC0">
        <w:rPr>
          <w:sz w:val="18"/>
          <w:szCs w:val="18"/>
        </w:rPr>
        <w:t xml:space="preserve"> of Chicago Press, 2013. </w:t>
      </w:r>
    </w:p>
  </w:footnote>
  <w:footnote w:id="13">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Si vedano, fra gli altri, H. </w:t>
      </w:r>
      <w:proofErr w:type="spellStart"/>
      <w:r w:rsidRPr="00433FC0">
        <w:rPr>
          <w:sz w:val="18"/>
          <w:szCs w:val="18"/>
        </w:rPr>
        <w:t>Lebovics</w:t>
      </w:r>
      <w:proofErr w:type="spellEnd"/>
      <w:r w:rsidRPr="00433FC0">
        <w:rPr>
          <w:sz w:val="18"/>
          <w:szCs w:val="18"/>
        </w:rPr>
        <w:t xml:space="preserve">, </w:t>
      </w:r>
      <w:r w:rsidRPr="00433FC0">
        <w:rPr>
          <w:i/>
          <w:sz w:val="18"/>
          <w:szCs w:val="18"/>
        </w:rPr>
        <w:t xml:space="preserve">The </w:t>
      </w:r>
      <w:proofErr w:type="spellStart"/>
      <w:r w:rsidRPr="00433FC0">
        <w:rPr>
          <w:i/>
          <w:sz w:val="18"/>
          <w:szCs w:val="18"/>
        </w:rPr>
        <w:t>Uses</w:t>
      </w:r>
      <w:proofErr w:type="spellEnd"/>
      <w:r w:rsidRPr="00433FC0">
        <w:rPr>
          <w:i/>
          <w:sz w:val="18"/>
          <w:szCs w:val="18"/>
        </w:rPr>
        <w:t xml:space="preserve"> of America in </w:t>
      </w:r>
      <w:proofErr w:type="spellStart"/>
      <w:r w:rsidRPr="00433FC0">
        <w:rPr>
          <w:i/>
          <w:sz w:val="18"/>
          <w:szCs w:val="18"/>
        </w:rPr>
        <w:t>Locke’s</w:t>
      </w:r>
      <w:proofErr w:type="spellEnd"/>
      <w:r w:rsidRPr="00433FC0">
        <w:rPr>
          <w:i/>
          <w:sz w:val="18"/>
          <w:szCs w:val="18"/>
        </w:rPr>
        <w:t xml:space="preserve"> Second </w:t>
      </w:r>
      <w:proofErr w:type="spellStart"/>
      <w:r w:rsidRPr="00433FC0">
        <w:rPr>
          <w:i/>
          <w:sz w:val="18"/>
          <w:szCs w:val="18"/>
        </w:rPr>
        <w:t>Treatise</w:t>
      </w:r>
      <w:proofErr w:type="spellEnd"/>
      <w:r w:rsidRPr="00433FC0">
        <w:rPr>
          <w:i/>
          <w:sz w:val="18"/>
          <w:szCs w:val="18"/>
        </w:rPr>
        <w:t xml:space="preserve"> on Government</w:t>
      </w:r>
      <w:r w:rsidRPr="00433FC0">
        <w:rPr>
          <w:sz w:val="18"/>
          <w:szCs w:val="18"/>
        </w:rPr>
        <w:t xml:space="preserve">, in «Journal of the History of </w:t>
      </w:r>
      <w:proofErr w:type="spellStart"/>
      <w:r w:rsidRPr="00433FC0">
        <w:rPr>
          <w:sz w:val="18"/>
          <w:szCs w:val="18"/>
        </w:rPr>
        <w:t>Ideas</w:t>
      </w:r>
      <w:proofErr w:type="spellEnd"/>
      <w:r w:rsidRPr="00433FC0">
        <w:rPr>
          <w:sz w:val="18"/>
          <w:szCs w:val="18"/>
        </w:rPr>
        <w:t xml:space="preserve">», 1986, n. 47, pp. 567-582; B. </w:t>
      </w:r>
      <w:proofErr w:type="spellStart"/>
      <w:r w:rsidRPr="00433FC0">
        <w:rPr>
          <w:sz w:val="18"/>
          <w:szCs w:val="18"/>
        </w:rPr>
        <w:t>Arneil</w:t>
      </w:r>
      <w:proofErr w:type="spellEnd"/>
      <w:r w:rsidRPr="00433FC0">
        <w:rPr>
          <w:sz w:val="18"/>
          <w:szCs w:val="18"/>
        </w:rPr>
        <w:t xml:space="preserve">, </w:t>
      </w:r>
      <w:r w:rsidRPr="00433FC0">
        <w:rPr>
          <w:i/>
          <w:sz w:val="18"/>
          <w:szCs w:val="18"/>
        </w:rPr>
        <w:t>John Locke and America</w:t>
      </w:r>
      <w:r w:rsidRPr="00433FC0">
        <w:rPr>
          <w:sz w:val="18"/>
          <w:szCs w:val="18"/>
        </w:rPr>
        <w:t xml:space="preserve">, </w:t>
      </w:r>
      <w:r w:rsidRPr="00433FC0">
        <w:rPr>
          <w:i/>
          <w:sz w:val="18"/>
          <w:szCs w:val="18"/>
        </w:rPr>
        <w:t xml:space="preserve">the Defence of English </w:t>
      </w:r>
      <w:proofErr w:type="spellStart"/>
      <w:r w:rsidRPr="00433FC0">
        <w:rPr>
          <w:i/>
          <w:sz w:val="18"/>
          <w:szCs w:val="18"/>
        </w:rPr>
        <w:t>Colonialism</w:t>
      </w:r>
      <w:proofErr w:type="spellEnd"/>
      <w:r w:rsidRPr="00433FC0">
        <w:rPr>
          <w:sz w:val="18"/>
          <w:szCs w:val="18"/>
        </w:rPr>
        <w:t xml:space="preserve">, Oxford, Clarendon Press, 1996; D. Armitage, </w:t>
      </w:r>
      <w:r w:rsidRPr="00433FC0">
        <w:rPr>
          <w:i/>
          <w:sz w:val="18"/>
          <w:szCs w:val="18"/>
        </w:rPr>
        <w:t>John Locke</w:t>
      </w:r>
      <w:r w:rsidRPr="00433FC0">
        <w:rPr>
          <w:sz w:val="18"/>
          <w:szCs w:val="18"/>
        </w:rPr>
        <w:t xml:space="preserve">, </w:t>
      </w:r>
      <w:r w:rsidRPr="00433FC0">
        <w:rPr>
          <w:i/>
          <w:sz w:val="18"/>
          <w:szCs w:val="18"/>
        </w:rPr>
        <w:t>Carolina</w:t>
      </w:r>
      <w:r w:rsidRPr="00433FC0">
        <w:rPr>
          <w:sz w:val="18"/>
          <w:szCs w:val="18"/>
        </w:rPr>
        <w:t xml:space="preserve">, </w:t>
      </w:r>
      <w:r w:rsidRPr="00433FC0">
        <w:rPr>
          <w:i/>
          <w:sz w:val="18"/>
          <w:szCs w:val="18"/>
        </w:rPr>
        <w:t xml:space="preserve">and The Two </w:t>
      </w:r>
      <w:proofErr w:type="spellStart"/>
      <w:r w:rsidRPr="00433FC0">
        <w:rPr>
          <w:i/>
          <w:sz w:val="18"/>
          <w:szCs w:val="18"/>
        </w:rPr>
        <w:t>Treatises</w:t>
      </w:r>
      <w:proofErr w:type="spellEnd"/>
      <w:r w:rsidRPr="00433FC0">
        <w:rPr>
          <w:i/>
          <w:sz w:val="18"/>
          <w:szCs w:val="18"/>
        </w:rPr>
        <w:t xml:space="preserve"> of Government</w:t>
      </w:r>
      <w:r w:rsidRPr="00433FC0">
        <w:rPr>
          <w:sz w:val="18"/>
          <w:szCs w:val="18"/>
        </w:rPr>
        <w:t>, in «</w:t>
      </w:r>
      <w:proofErr w:type="spellStart"/>
      <w:r w:rsidRPr="00433FC0">
        <w:rPr>
          <w:sz w:val="18"/>
          <w:szCs w:val="18"/>
        </w:rPr>
        <w:t>Political</w:t>
      </w:r>
      <w:proofErr w:type="spellEnd"/>
      <w:r w:rsidRPr="00433FC0">
        <w:rPr>
          <w:sz w:val="18"/>
          <w:szCs w:val="18"/>
        </w:rPr>
        <w:t xml:space="preserve"> Theory», 2004, n. 32, pp. 602-627. </w:t>
      </w:r>
    </w:p>
  </w:footnote>
  <w:footnote w:id="14">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 </w:t>
      </w:r>
      <w:proofErr w:type="spellStart"/>
      <w:r w:rsidRPr="00433FC0">
        <w:rPr>
          <w:sz w:val="18"/>
          <w:szCs w:val="18"/>
        </w:rPr>
        <w:t>Aravamudan</w:t>
      </w:r>
      <w:proofErr w:type="spellEnd"/>
      <w:r w:rsidRPr="00433FC0">
        <w:rPr>
          <w:sz w:val="18"/>
          <w:szCs w:val="18"/>
        </w:rPr>
        <w:t xml:space="preserve">, </w:t>
      </w:r>
      <w:r w:rsidRPr="00433FC0">
        <w:rPr>
          <w:i/>
          <w:sz w:val="18"/>
          <w:szCs w:val="18"/>
        </w:rPr>
        <w:t>Hobbes and America</w:t>
      </w:r>
      <w:r w:rsidRPr="00433FC0">
        <w:rPr>
          <w:sz w:val="18"/>
          <w:szCs w:val="18"/>
        </w:rPr>
        <w:t xml:space="preserve">, in </w:t>
      </w:r>
      <w:proofErr w:type="spellStart"/>
      <w:r w:rsidRPr="00433FC0">
        <w:rPr>
          <w:i/>
          <w:sz w:val="18"/>
          <w:szCs w:val="18"/>
        </w:rPr>
        <w:t>Postcolonial</w:t>
      </w:r>
      <w:proofErr w:type="spellEnd"/>
      <w:r w:rsidRPr="00433FC0">
        <w:rPr>
          <w:i/>
          <w:sz w:val="18"/>
          <w:szCs w:val="18"/>
        </w:rPr>
        <w:t xml:space="preserve"> </w:t>
      </w:r>
      <w:proofErr w:type="spellStart"/>
      <w:r w:rsidRPr="00433FC0">
        <w:rPr>
          <w:i/>
          <w:sz w:val="18"/>
          <w:szCs w:val="18"/>
        </w:rPr>
        <w:t>Enlightenment</w:t>
      </w:r>
      <w:proofErr w:type="spellEnd"/>
      <w:r w:rsidRPr="00433FC0">
        <w:rPr>
          <w:sz w:val="18"/>
          <w:szCs w:val="18"/>
        </w:rPr>
        <w:t xml:space="preserve">, </w:t>
      </w:r>
      <w:proofErr w:type="spellStart"/>
      <w:r w:rsidRPr="00433FC0">
        <w:rPr>
          <w:sz w:val="18"/>
          <w:szCs w:val="18"/>
        </w:rPr>
        <w:t>eds</w:t>
      </w:r>
      <w:proofErr w:type="spellEnd"/>
      <w:r w:rsidRPr="00433FC0">
        <w:rPr>
          <w:sz w:val="18"/>
          <w:szCs w:val="18"/>
        </w:rPr>
        <w:t xml:space="preserve">. D. Carey – L. Festa, Oxford, Oxford </w:t>
      </w:r>
      <w:proofErr w:type="spellStart"/>
      <w:r w:rsidRPr="00433FC0">
        <w:rPr>
          <w:sz w:val="18"/>
          <w:szCs w:val="18"/>
        </w:rPr>
        <w:t>University</w:t>
      </w:r>
      <w:proofErr w:type="spellEnd"/>
      <w:r w:rsidRPr="00433FC0">
        <w:rPr>
          <w:sz w:val="18"/>
          <w:szCs w:val="18"/>
        </w:rPr>
        <w:t xml:space="preserve"> Press, 2009, pp. 37-69. </w:t>
      </w:r>
    </w:p>
  </w:footnote>
  <w:footnote w:id="15">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Per il logo della compagnia delle Bermuda, vedi S. </w:t>
      </w:r>
      <w:proofErr w:type="spellStart"/>
      <w:r w:rsidRPr="00433FC0">
        <w:rPr>
          <w:sz w:val="18"/>
          <w:szCs w:val="18"/>
        </w:rPr>
        <w:t>Aravamudan</w:t>
      </w:r>
      <w:proofErr w:type="spellEnd"/>
      <w:r w:rsidRPr="00433FC0">
        <w:rPr>
          <w:sz w:val="18"/>
          <w:szCs w:val="18"/>
        </w:rPr>
        <w:t xml:space="preserve">, </w:t>
      </w:r>
      <w:r w:rsidRPr="00433FC0">
        <w:rPr>
          <w:i/>
          <w:sz w:val="18"/>
          <w:szCs w:val="18"/>
        </w:rPr>
        <w:t>Hobbes and America</w:t>
      </w:r>
      <w:r w:rsidRPr="00433FC0">
        <w:rPr>
          <w:sz w:val="18"/>
          <w:szCs w:val="18"/>
        </w:rPr>
        <w:t xml:space="preserve">, cit., p. 66. </w:t>
      </w:r>
    </w:p>
  </w:footnote>
  <w:footnote w:id="16">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Questi elementi acquatici che, nonostante tutto, permangono dentro la concezione hobbesiana della sovranità trovano paradossalmente riscontro nell’immagine stessa del Le</w:t>
      </w:r>
      <w:r w:rsidR="001702D4" w:rsidRPr="00433FC0">
        <w:t xml:space="preserve">viatano, che nella tradizione biblica è un mostro marino. Secondo alcuni, fra l’altro, il gigante rappresentato nel frontespizio dell’opera del 1651 poggerebbe i piedi in acqua. Cfr. su questo H. </w:t>
      </w:r>
      <w:proofErr w:type="spellStart"/>
      <w:r w:rsidR="001702D4" w:rsidRPr="00433FC0">
        <w:t>Bredekamp</w:t>
      </w:r>
      <w:proofErr w:type="spellEnd"/>
      <w:r w:rsidR="001702D4" w:rsidRPr="00433FC0">
        <w:t xml:space="preserve">, </w:t>
      </w:r>
      <w:r w:rsidR="001702D4" w:rsidRPr="00433FC0">
        <w:rPr>
          <w:i/>
        </w:rPr>
        <w:t xml:space="preserve">Thomas Hobbes </w:t>
      </w:r>
      <w:proofErr w:type="spellStart"/>
      <w:r w:rsidR="001702D4" w:rsidRPr="00433FC0">
        <w:rPr>
          <w:i/>
        </w:rPr>
        <w:t>Visuelle</w:t>
      </w:r>
      <w:proofErr w:type="spellEnd"/>
      <w:r w:rsidR="001702D4" w:rsidRPr="00433FC0">
        <w:rPr>
          <w:i/>
        </w:rPr>
        <w:t xml:space="preserve"> </w:t>
      </w:r>
      <w:proofErr w:type="spellStart"/>
      <w:r w:rsidR="001702D4" w:rsidRPr="00433FC0">
        <w:rPr>
          <w:i/>
        </w:rPr>
        <w:t>Strategien</w:t>
      </w:r>
      <w:proofErr w:type="spellEnd"/>
      <w:r w:rsidR="001702D4" w:rsidRPr="00433FC0">
        <w:t xml:space="preserve">, </w:t>
      </w:r>
      <w:proofErr w:type="spellStart"/>
      <w:r w:rsidR="001702D4" w:rsidRPr="00433FC0">
        <w:t>Berlin</w:t>
      </w:r>
      <w:proofErr w:type="spellEnd"/>
      <w:r w:rsidR="001702D4" w:rsidRPr="00433FC0">
        <w:t>, Akademie, 1999.</w:t>
      </w:r>
    </w:p>
  </w:footnote>
  <w:footnote w:id="17">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t>
      </w:r>
      <w:proofErr w:type="spellStart"/>
      <w:r w:rsidRPr="00433FC0">
        <w:rPr>
          <w:sz w:val="18"/>
          <w:szCs w:val="18"/>
        </w:rPr>
        <w:t>Th</w:t>
      </w:r>
      <w:proofErr w:type="spellEnd"/>
      <w:r w:rsidRPr="00433FC0">
        <w:rPr>
          <w:sz w:val="18"/>
          <w:szCs w:val="18"/>
        </w:rPr>
        <w:t xml:space="preserve">. Hobbes, </w:t>
      </w:r>
      <w:r w:rsidRPr="00433FC0">
        <w:rPr>
          <w:i/>
          <w:sz w:val="18"/>
          <w:szCs w:val="18"/>
        </w:rPr>
        <w:t>Leviatano</w:t>
      </w:r>
      <w:r w:rsidRPr="00433FC0">
        <w:rPr>
          <w:sz w:val="18"/>
          <w:szCs w:val="18"/>
        </w:rPr>
        <w:t xml:space="preserve">, Milano, Rizzoli, 2011, p. 132. </w:t>
      </w:r>
    </w:p>
  </w:footnote>
  <w:footnote w:id="18">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w:t>
      </w:r>
      <w:r w:rsidRPr="00433FC0">
        <w:rPr>
          <w:i/>
          <w:sz w:val="18"/>
          <w:szCs w:val="18"/>
        </w:rPr>
        <w:t xml:space="preserve">America in </w:t>
      </w:r>
      <w:proofErr w:type="spellStart"/>
      <w:r w:rsidRPr="00433FC0">
        <w:rPr>
          <w:i/>
          <w:sz w:val="18"/>
          <w:szCs w:val="18"/>
        </w:rPr>
        <w:t>European</w:t>
      </w:r>
      <w:proofErr w:type="spellEnd"/>
      <w:r w:rsidRPr="00433FC0">
        <w:rPr>
          <w:i/>
          <w:sz w:val="18"/>
          <w:szCs w:val="18"/>
        </w:rPr>
        <w:t xml:space="preserve"> </w:t>
      </w:r>
      <w:proofErr w:type="spellStart"/>
      <w:r w:rsidRPr="00433FC0">
        <w:rPr>
          <w:i/>
          <w:sz w:val="18"/>
          <w:szCs w:val="18"/>
        </w:rPr>
        <w:t>Consciousness</w:t>
      </w:r>
      <w:proofErr w:type="spellEnd"/>
      <w:r w:rsidRPr="00433FC0">
        <w:rPr>
          <w:sz w:val="18"/>
          <w:szCs w:val="18"/>
        </w:rPr>
        <w:t xml:space="preserve">, </w:t>
      </w:r>
      <w:r w:rsidRPr="00433FC0">
        <w:rPr>
          <w:i/>
          <w:sz w:val="18"/>
          <w:szCs w:val="18"/>
        </w:rPr>
        <w:t>1493-1750</w:t>
      </w:r>
      <w:r w:rsidRPr="00433FC0">
        <w:rPr>
          <w:sz w:val="18"/>
          <w:szCs w:val="18"/>
        </w:rPr>
        <w:t xml:space="preserve">, ed. K.O. </w:t>
      </w:r>
      <w:proofErr w:type="spellStart"/>
      <w:r w:rsidRPr="00433FC0">
        <w:rPr>
          <w:sz w:val="18"/>
          <w:szCs w:val="18"/>
        </w:rPr>
        <w:t>Kupperman</w:t>
      </w:r>
      <w:proofErr w:type="spellEnd"/>
      <w:r w:rsidRPr="00433FC0">
        <w:rPr>
          <w:sz w:val="18"/>
          <w:szCs w:val="18"/>
        </w:rPr>
        <w:t xml:space="preserve">, </w:t>
      </w:r>
      <w:proofErr w:type="spellStart"/>
      <w:r w:rsidRPr="00433FC0">
        <w:rPr>
          <w:sz w:val="18"/>
          <w:szCs w:val="18"/>
        </w:rPr>
        <w:t>Chapel</w:t>
      </w:r>
      <w:proofErr w:type="spellEnd"/>
      <w:r w:rsidRPr="00433FC0">
        <w:rPr>
          <w:sz w:val="18"/>
          <w:szCs w:val="18"/>
        </w:rPr>
        <w:t xml:space="preserve"> Hill, </w:t>
      </w:r>
      <w:proofErr w:type="spellStart"/>
      <w:r w:rsidRPr="00433FC0">
        <w:rPr>
          <w:sz w:val="18"/>
          <w:szCs w:val="18"/>
        </w:rPr>
        <w:t>University</w:t>
      </w:r>
      <w:proofErr w:type="spellEnd"/>
      <w:r w:rsidRPr="00433FC0">
        <w:rPr>
          <w:sz w:val="18"/>
          <w:szCs w:val="18"/>
        </w:rPr>
        <w:t xml:space="preserve"> of North Carolina Press, 1995; Id. </w:t>
      </w:r>
      <w:proofErr w:type="spellStart"/>
      <w:r w:rsidRPr="00433FC0">
        <w:rPr>
          <w:i/>
          <w:sz w:val="18"/>
          <w:szCs w:val="18"/>
        </w:rPr>
        <w:t>Indians</w:t>
      </w:r>
      <w:proofErr w:type="spellEnd"/>
      <w:r w:rsidRPr="00433FC0">
        <w:rPr>
          <w:i/>
          <w:sz w:val="18"/>
          <w:szCs w:val="18"/>
        </w:rPr>
        <w:t xml:space="preserve"> &amp; English</w:t>
      </w:r>
      <w:r w:rsidRPr="00433FC0">
        <w:rPr>
          <w:sz w:val="18"/>
          <w:szCs w:val="18"/>
        </w:rPr>
        <w:t xml:space="preserve">, Ithaca, Cornell </w:t>
      </w:r>
      <w:proofErr w:type="spellStart"/>
      <w:r w:rsidRPr="00433FC0">
        <w:rPr>
          <w:sz w:val="18"/>
          <w:szCs w:val="18"/>
        </w:rPr>
        <w:t>University</w:t>
      </w:r>
      <w:proofErr w:type="spellEnd"/>
      <w:r w:rsidRPr="00433FC0">
        <w:rPr>
          <w:sz w:val="18"/>
          <w:szCs w:val="18"/>
        </w:rPr>
        <w:t xml:space="preserve"> Press, 2000; A. </w:t>
      </w:r>
      <w:proofErr w:type="spellStart"/>
      <w:r w:rsidRPr="00433FC0">
        <w:rPr>
          <w:sz w:val="18"/>
          <w:szCs w:val="18"/>
        </w:rPr>
        <w:t>Gerbi</w:t>
      </w:r>
      <w:proofErr w:type="spellEnd"/>
      <w:r w:rsidRPr="00433FC0">
        <w:rPr>
          <w:sz w:val="18"/>
          <w:szCs w:val="18"/>
        </w:rPr>
        <w:t xml:space="preserve">, </w:t>
      </w:r>
      <w:r w:rsidRPr="00433FC0">
        <w:rPr>
          <w:i/>
          <w:sz w:val="18"/>
          <w:szCs w:val="18"/>
        </w:rPr>
        <w:t>La disputa del nuovo mondo</w:t>
      </w:r>
      <w:r w:rsidRPr="00433FC0">
        <w:rPr>
          <w:sz w:val="18"/>
          <w:szCs w:val="18"/>
        </w:rPr>
        <w:t xml:space="preserve">, </w:t>
      </w:r>
      <w:r w:rsidRPr="00433FC0">
        <w:rPr>
          <w:i/>
          <w:sz w:val="18"/>
          <w:szCs w:val="18"/>
        </w:rPr>
        <w:t>storia di una polemica</w:t>
      </w:r>
      <w:r w:rsidRPr="00433FC0">
        <w:rPr>
          <w:sz w:val="18"/>
          <w:szCs w:val="18"/>
        </w:rPr>
        <w:t xml:space="preserve">, </w:t>
      </w:r>
      <w:r w:rsidRPr="00433FC0">
        <w:rPr>
          <w:i/>
          <w:sz w:val="18"/>
          <w:szCs w:val="18"/>
        </w:rPr>
        <w:t>1750-1900</w:t>
      </w:r>
      <w:r w:rsidRPr="00433FC0">
        <w:rPr>
          <w:sz w:val="18"/>
          <w:szCs w:val="18"/>
        </w:rPr>
        <w:t xml:space="preserve">, Milano, Adelphi, 2000. </w:t>
      </w:r>
    </w:p>
  </w:footnote>
  <w:footnote w:id="19">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t>
      </w:r>
      <w:proofErr w:type="spellStart"/>
      <w:r w:rsidRPr="00433FC0">
        <w:rPr>
          <w:sz w:val="18"/>
          <w:szCs w:val="18"/>
        </w:rPr>
        <w:t>Th</w:t>
      </w:r>
      <w:proofErr w:type="spellEnd"/>
      <w:r w:rsidRPr="00433FC0">
        <w:rPr>
          <w:sz w:val="18"/>
          <w:szCs w:val="18"/>
        </w:rPr>
        <w:t xml:space="preserve">. Hobbes, </w:t>
      </w:r>
      <w:r w:rsidRPr="00433FC0">
        <w:rPr>
          <w:i/>
          <w:sz w:val="18"/>
          <w:szCs w:val="18"/>
        </w:rPr>
        <w:t>Leviatano</w:t>
      </w:r>
      <w:r w:rsidRPr="00433FC0">
        <w:rPr>
          <w:sz w:val="18"/>
          <w:szCs w:val="18"/>
        </w:rPr>
        <w:t xml:space="preserve">, cit., pp. 130-131. </w:t>
      </w:r>
    </w:p>
  </w:footnote>
  <w:footnote w:id="20">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 Shakespeare, </w:t>
      </w:r>
      <w:r w:rsidRPr="00433FC0">
        <w:rPr>
          <w:i/>
          <w:sz w:val="18"/>
          <w:szCs w:val="18"/>
        </w:rPr>
        <w:t>La tempesta</w:t>
      </w:r>
      <w:r w:rsidRPr="00433FC0">
        <w:rPr>
          <w:sz w:val="18"/>
          <w:szCs w:val="18"/>
        </w:rPr>
        <w:t xml:space="preserve">, Milano, Garzanti, 1984, atto II, scena I, pp. 70-71. </w:t>
      </w:r>
    </w:p>
  </w:footnote>
  <w:footnote w:id="21">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M. de </w:t>
      </w:r>
      <w:proofErr w:type="spellStart"/>
      <w:r w:rsidRPr="00433FC0">
        <w:rPr>
          <w:sz w:val="18"/>
          <w:szCs w:val="18"/>
        </w:rPr>
        <w:t>Montaigne</w:t>
      </w:r>
      <w:proofErr w:type="spellEnd"/>
      <w:r w:rsidRPr="00433FC0">
        <w:rPr>
          <w:sz w:val="18"/>
          <w:szCs w:val="18"/>
        </w:rPr>
        <w:t xml:space="preserve">, </w:t>
      </w:r>
      <w:r w:rsidRPr="00433FC0">
        <w:rPr>
          <w:i/>
          <w:sz w:val="18"/>
          <w:szCs w:val="18"/>
        </w:rPr>
        <w:t>Dei cannibali</w:t>
      </w:r>
      <w:r w:rsidRPr="00433FC0">
        <w:rPr>
          <w:sz w:val="18"/>
          <w:szCs w:val="18"/>
        </w:rPr>
        <w:t xml:space="preserve">, in Id., </w:t>
      </w:r>
      <w:r w:rsidRPr="00433FC0">
        <w:rPr>
          <w:i/>
          <w:sz w:val="18"/>
          <w:szCs w:val="18"/>
        </w:rPr>
        <w:t>Saggi</w:t>
      </w:r>
      <w:r w:rsidRPr="00433FC0">
        <w:rPr>
          <w:sz w:val="18"/>
          <w:szCs w:val="18"/>
        </w:rPr>
        <w:t xml:space="preserve">, Milano, Bompiani, 2012, pp. 367-390. </w:t>
      </w:r>
    </w:p>
  </w:footnote>
  <w:footnote w:id="22">
    <w:p w:rsidR="00433FC0" w:rsidRDefault="00433FC0" w:rsidP="00433FC0">
      <w:pPr>
        <w:pStyle w:val="Testonotaapidipagina"/>
        <w:ind w:firstLine="0"/>
      </w:pPr>
      <w:r>
        <w:rPr>
          <w:rStyle w:val="Rimandonotaapidipagina"/>
        </w:rPr>
        <w:footnoteRef/>
      </w:r>
      <w:r>
        <w:t xml:space="preserve"> </w:t>
      </w:r>
      <w:r w:rsidRPr="00433FC0">
        <w:rPr>
          <w:sz w:val="18"/>
          <w:szCs w:val="18"/>
        </w:rPr>
        <w:t xml:space="preserve">Hobbes, </w:t>
      </w:r>
      <w:r w:rsidRPr="00433FC0">
        <w:rPr>
          <w:i/>
          <w:sz w:val="18"/>
          <w:szCs w:val="18"/>
        </w:rPr>
        <w:t>Leviatano</w:t>
      </w:r>
      <w:r w:rsidRPr="00433FC0">
        <w:rPr>
          <w:sz w:val="18"/>
          <w:szCs w:val="18"/>
        </w:rPr>
        <w:t>, cit., p. 262.</w:t>
      </w:r>
    </w:p>
  </w:footnote>
  <w:footnote w:id="23">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 353. </w:t>
      </w:r>
    </w:p>
  </w:footnote>
  <w:footnote w:id="24">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 216. </w:t>
      </w:r>
    </w:p>
  </w:footnote>
  <w:footnote w:id="25">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 242. </w:t>
      </w:r>
    </w:p>
  </w:footnote>
  <w:footnote w:id="26">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pp. 242-243. </w:t>
      </w:r>
    </w:p>
  </w:footnote>
  <w:footnote w:id="27">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 268. </w:t>
      </w:r>
    </w:p>
  </w:footnote>
  <w:footnote w:id="28">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t>
      </w:r>
      <w:r w:rsidRPr="00433FC0">
        <w:rPr>
          <w:i/>
          <w:sz w:val="18"/>
          <w:szCs w:val="18"/>
        </w:rPr>
        <w:t>Ibidem</w:t>
      </w:r>
      <w:r w:rsidRPr="00433FC0">
        <w:rPr>
          <w:sz w:val="18"/>
          <w:szCs w:val="18"/>
        </w:rPr>
        <w:t xml:space="preserve">. </w:t>
      </w:r>
    </w:p>
  </w:footnote>
  <w:footnote w:id="29">
    <w:p w:rsidR="00545B3D" w:rsidRPr="00433FC0" w:rsidRDefault="004632E2" w:rsidP="00433FC0">
      <w:pPr>
        <w:spacing w:after="0" w:line="237" w:lineRule="auto"/>
        <w:ind w:left="-5" w:right="35" w:hanging="10"/>
      </w:pPr>
      <w:r w:rsidRPr="00433FC0">
        <w:rPr>
          <w:rStyle w:val="footnotemark"/>
          <w:sz w:val="18"/>
          <w:szCs w:val="18"/>
        </w:rPr>
        <w:footnoteRef/>
      </w:r>
      <w:r w:rsidRPr="00433FC0">
        <w:rPr>
          <w:sz w:val="18"/>
          <w:szCs w:val="18"/>
        </w:rPr>
        <w:t xml:space="preserve"> Per un esempio di rappresentazione «tubolare» del mondo, abbastanza in voga negli stessi anni in cui scriveva Hobbes, A. </w:t>
      </w:r>
      <w:proofErr w:type="spellStart"/>
      <w:r w:rsidRPr="00433FC0">
        <w:rPr>
          <w:sz w:val="18"/>
          <w:szCs w:val="18"/>
        </w:rPr>
        <w:t>Kircher</w:t>
      </w:r>
      <w:proofErr w:type="spellEnd"/>
      <w:r w:rsidRPr="00433FC0">
        <w:rPr>
          <w:sz w:val="18"/>
          <w:szCs w:val="18"/>
        </w:rPr>
        <w:t xml:space="preserve">, </w:t>
      </w:r>
      <w:r w:rsidRPr="00433FC0">
        <w:rPr>
          <w:i/>
          <w:sz w:val="18"/>
          <w:szCs w:val="18"/>
        </w:rPr>
        <w:t xml:space="preserve">Mundus </w:t>
      </w:r>
      <w:proofErr w:type="spellStart"/>
      <w:r w:rsidRPr="00433FC0">
        <w:rPr>
          <w:i/>
          <w:sz w:val="18"/>
          <w:szCs w:val="18"/>
        </w:rPr>
        <w:t>Subterraneus</w:t>
      </w:r>
      <w:proofErr w:type="spellEnd"/>
      <w:r w:rsidRPr="00433FC0">
        <w:rPr>
          <w:sz w:val="18"/>
          <w:szCs w:val="18"/>
        </w:rPr>
        <w:t xml:space="preserve"> (1678), vol. 1, folio I, </w:t>
      </w:r>
      <w:r w:rsidR="00433FC0" w:rsidRPr="00433FC0">
        <w:rPr>
          <w:sz w:val="17"/>
        </w:rPr>
        <w:t>186 (consultabile online: http://commons.wikimedia.org/wiki/File: Athanasius_Kircher_Interior_of_the_earth.jpg).</w:t>
      </w:r>
    </w:p>
  </w:footnote>
  <w:footnote w:id="30">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L. Benton, </w:t>
      </w:r>
      <w:r w:rsidRPr="00433FC0">
        <w:rPr>
          <w:i/>
          <w:sz w:val="18"/>
          <w:szCs w:val="18"/>
        </w:rPr>
        <w:t xml:space="preserve">A Search for </w:t>
      </w:r>
      <w:proofErr w:type="spellStart"/>
      <w:r w:rsidRPr="00433FC0">
        <w:rPr>
          <w:i/>
          <w:sz w:val="18"/>
          <w:szCs w:val="18"/>
        </w:rPr>
        <w:t>Sovereignty</w:t>
      </w:r>
      <w:proofErr w:type="spellEnd"/>
      <w:r w:rsidRPr="00433FC0">
        <w:rPr>
          <w:sz w:val="18"/>
          <w:szCs w:val="18"/>
        </w:rPr>
        <w:t xml:space="preserve">: </w:t>
      </w:r>
      <w:r w:rsidRPr="00433FC0">
        <w:rPr>
          <w:i/>
          <w:sz w:val="18"/>
          <w:szCs w:val="18"/>
        </w:rPr>
        <w:t xml:space="preserve">Law and </w:t>
      </w:r>
      <w:proofErr w:type="spellStart"/>
      <w:r w:rsidRPr="00433FC0">
        <w:rPr>
          <w:i/>
          <w:sz w:val="18"/>
          <w:szCs w:val="18"/>
        </w:rPr>
        <w:t>Geography</w:t>
      </w:r>
      <w:proofErr w:type="spellEnd"/>
      <w:r w:rsidRPr="00433FC0">
        <w:rPr>
          <w:i/>
          <w:sz w:val="18"/>
          <w:szCs w:val="18"/>
        </w:rPr>
        <w:t xml:space="preserve"> in </w:t>
      </w:r>
      <w:proofErr w:type="spellStart"/>
      <w:r w:rsidRPr="00433FC0">
        <w:rPr>
          <w:i/>
          <w:sz w:val="18"/>
          <w:szCs w:val="18"/>
        </w:rPr>
        <w:t>European</w:t>
      </w:r>
      <w:proofErr w:type="spellEnd"/>
      <w:r w:rsidRPr="00433FC0">
        <w:rPr>
          <w:i/>
          <w:sz w:val="18"/>
          <w:szCs w:val="18"/>
        </w:rPr>
        <w:t xml:space="preserve"> Empires</w:t>
      </w:r>
      <w:r w:rsidRPr="00433FC0">
        <w:rPr>
          <w:sz w:val="18"/>
          <w:szCs w:val="18"/>
        </w:rPr>
        <w:t xml:space="preserve">, </w:t>
      </w:r>
      <w:r w:rsidRPr="00433FC0">
        <w:rPr>
          <w:i/>
          <w:sz w:val="18"/>
          <w:szCs w:val="18"/>
        </w:rPr>
        <w:t>14001900</w:t>
      </w:r>
      <w:r w:rsidRPr="00433FC0">
        <w:rPr>
          <w:sz w:val="18"/>
          <w:szCs w:val="18"/>
        </w:rPr>
        <w:t xml:space="preserve">, Cambridge, Cambridge </w:t>
      </w:r>
      <w:proofErr w:type="spellStart"/>
      <w:r w:rsidRPr="00433FC0">
        <w:rPr>
          <w:sz w:val="18"/>
          <w:szCs w:val="18"/>
        </w:rPr>
        <w:t>University</w:t>
      </w:r>
      <w:proofErr w:type="spellEnd"/>
      <w:r w:rsidRPr="00433FC0">
        <w:rPr>
          <w:sz w:val="18"/>
          <w:szCs w:val="18"/>
        </w:rPr>
        <w:t xml:space="preserve"> Press, 2010; </w:t>
      </w:r>
      <w:r w:rsidRPr="00433FC0">
        <w:rPr>
          <w:i/>
          <w:sz w:val="18"/>
          <w:szCs w:val="18"/>
        </w:rPr>
        <w:t xml:space="preserve">Legal </w:t>
      </w:r>
      <w:proofErr w:type="spellStart"/>
      <w:r w:rsidRPr="00433FC0">
        <w:rPr>
          <w:i/>
          <w:sz w:val="18"/>
          <w:szCs w:val="18"/>
        </w:rPr>
        <w:t>Pluralism</w:t>
      </w:r>
      <w:proofErr w:type="spellEnd"/>
      <w:r w:rsidRPr="00433FC0">
        <w:rPr>
          <w:i/>
          <w:sz w:val="18"/>
          <w:szCs w:val="18"/>
        </w:rPr>
        <w:t xml:space="preserve"> and Empires</w:t>
      </w:r>
      <w:r w:rsidRPr="00433FC0">
        <w:rPr>
          <w:sz w:val="18"/>
          <w:szCs w:val="18"/>
        </w:rPr>
        <w:t xml:space="preserve">, </w:t>
      </w:r>
      <w:r w:rsidRPr="00433FC0">
        <w:rPr>
          <w:i/>
          <w:sz w:val="18"/>
          <w:szCs w:val="18"/>
        </w:rPr>
        <w:t>15001850</w:t>
      </w:r>
      <w:r w:rsidRPr="00433FC0">
        <w:rPr>
          <w:sz w:val="18"/>
          <w:szCs w:val="18"/>
        </w:rPr>
        <w:t xml:space="preserve">, </w:t>
      </w:r>
      <w:proofErr w:type="spellStart"/>
      <w:r w:rsidRPr="00433FC0">
        <w:rPr>
          <w:sz w:val="18"/>
          <w:szCs w:val="18"/>
        </w:rPr>
        <w:t>eds</w:t>
      </w:r>
      <w:proofErr w:type="spellEnd"/>
      <w:r w:rsidRPr="00433FC0">
        <w:rPr>
          <w:sz w:val="18"/>
          <w:szCs w:val="18"/>
        </w:rPr>
        <w:t xml:space="preserve">. L. Benton – R.J. Ross, New York, New York </w:t>
      </w:r>
      <w:proofErr w:type="spellStart"/>
      <w:r w:rsidRPr="00433FC0">
        <w:rPr>
          <w:sz w:val="18"/>
          <w:szCs w:val="18"/>
        </w:rPr>
        <w:t>University</w:t>
      </w:r>
      <w:proofErr w:type="spellEnd"/>
      <w:r w:rsidRPr="00433FC0">
        <w:rPr>
          <w:sz w:val="18"/>
          <w:szCs w:val="18"/>
        </w:rPr>
        <w:t xml:space="preserve"> Press, 2013. </w:t>
      </w:r>
    </w:p>
  </w:footnote>
  <w:footnote w:id="31">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J. Locke, </w:t>
      </w:r>
      <w:r w:rsidRPr="00433FC0">
        <w:rPr>
          <w:i/>
          <w:sz w:val="18"/>
          <w:szCs w:val="18"/>
        </w:rPr>
        <w:t>Il secondo trattato sul governo</w:t>
      </w:r>
      <w:r w:rsidRPr="00433FC0">
        <w:rPr>
          <w:sz w:val="18"/>
          <w:szCs w:val="18"/>
        </w:rPr>
        <w:t xml:space="preserve">, Milano, Rizzoli, 1998, cap. XVI, §. 175, p. 304. </w:t>
      </w:r>
    </w:p>
  </w:footnote>
  <w:footnote w:id="32">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t>
      </w:r>
      <w:r w:rsidRPr="00433FC0">
        <w:rPr>
          <w:i/>
          <w:sz w:val="18"/>
          <w:szCs w:val="18"/>
        </w:rPr>
        <w:t>Ibidem</w:t>
      </w:r>
      <w:r w:rsidRPr="00433FC0">
        <w:rPr>
          <w:sz w:val="18"/>
          <w:szCs w:val="18"/>
        </w:rPr>
        <w:t xml:space="preserve">. </w:t>
      </w:r>
    </w:p>
  </w:footnote>
  <w:footnote w:id="33">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XVI, §§. 186 e 187, pp. 321-323. </w:t>
      </w:r>
    </w:p>
  </w:footnote>
  <w:footnote w:id="34">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XVI, §. 196, p. 331. </w:t>
      </w:r>
    </w:p>
  </w:footnote>
  <w:footnote w:id="35">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XIX, §. 226, p. 369. </w:t>
      </w:r>
    </w:p>
  </w:footnote>
  <w:footnote w:id="36">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w:t>
      </w:r>
      <w:proofErr w:type="spellStart"/>
      <w:r w:rsidRPr="00433FC0">
        <w:rPr>
          <w:sz w:val="18"/>
          <w:szCs w:val="18"/>
        </w:rPr>
        <w:t>cap</w:t>
      </w:r>
      <w:proofErr w:type="spellEnd"/>
      <w:r w:rsidRPr="00433FC0">
        <w:rPr>
          <w:sz w:val="18"/>
          <w:szCs w:val="18"/>
        </w:rPr>
        <w:t xml:space="preserve"> XIX, § 224, p. 367. </w:t>
      </w:r>
    </w:p>
  </w:footnote>
  <w:footnote w:id="37">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XI, §. 135, nota, p. 245. </w:t>
      </w:r>
    </w:p>
  </w:footnote>
  <w:footnote w:id="38">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V, §. 49, p. 125. </w:t>
      </w:r>
    </w:p>
  </w:footnote>
  <w:footnote w:id="39">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cap. V, §. 41, p. 115. </w:t>
      </w:r>
    </w:p>
  </w:footnote>
  <w:footnote w:id="40">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w:t>
      </w:r>
      <w:proofErr w:type="spellStart"/>
      <w:r w:rsidRPr="00433FC0">
        <w:rPr>
          <w:sz w:val="18"/>
          <w:szCs w:val="18"/>
        </w:rPr>
        <w:t>Ch</w:t>
      </w:r>
      <w:proofErr w:type="spellEnd"/>
      <w:r w:rsidRPr="00433FC0">
        <w:rPr>
          <w:sz w:val="18"/>
          <w:szCs w:val="18"/>
        </w:rPr>
        <w:t xml:space="preserve">. Murray, </w:t>
      </w:r>
      <w:r w:rsidRPr="00433FC0">
        <w:rPr>
          <w:i/>
          <w:sz w:val="18"/>
          <w:szCs w:val="18"/>
        </w:rPr>
        <w:t xml:space="preserve">American </w:t>
      </w:r>
      <w:proofErr w:type="spellStart"/>
      <w:r w:rsidRPr="00433FC0">
        <w:rPr>
          <w:i/>
          <w:sz w:val="18"/>
          <w:szCs w:val="18"/>
        </w:rPr>
        <w:t>Exceptionalism</w:t>
      </w:r>
      <w:proofErr w:type="spellEnd"/>
      <w:r w:rsidRPr="00433FC0">
        <w:rPr>
          <w:sz w:val="18"/>
          <w:szCs w:val="18"/>
        </w:rPr>
        <w:t xml:space="preserve">, Washington, American Enterprise Institute Press, 2013. </w:t>
      </w:r>
    </w:p>
  </w:footnote>
  <w:footnote w:id="41">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C. West, </w:t>
      </w:r>
      <w:r w:rsidRPr="00433FC0">
        <w:rPr>
          <w:i/>
          <w:sz w:val="18"/>
          <w:szCs w:val="18"/>
        </w:rPr>
        <w:t xml:space="preserve">The </w:t>
      </w:r>
      <w:proofErr w:type="spellStart"/>
      <w:r w:rsidRPr="00433FC0">
        <w:rPr>
          <w:i/>
          <w:sz w:val="18"/>
          <w:szCs w:val="18"/>
        </w:rPr>
        <w:t>Ignoble</w:t>
      </w:r>
      <w:proofErr w:type="spellEnd"/>
      <w:r w:rsidRPr="00433FC0">
        <w:rPr>
          <w:i/>
          <w:sz w:val="18"/>
          <w:szCs w:val="18"/>
        </w:rPr>
        <w:t xml:space="preserve"> </w:t>
      </w:r>
      <w:proofErr w:type="spellStart"/>
      <w:r w:rsidRPr="00433FC0">
        <w:rPr>
          <w:i/>
          <w:sz w:val="18"/>
          <w:szCs w:val="18"/>
        </w:rPr>
        <w:t>Paradox</w:t>
      </w:r>
      <w:proofErr w:type="spellEnd"/>
      <w:r w:rsidRPr="00433FC0">
        <w:rPr>
          <w:i/>
          <w:sz w:val="18"/>
          <w:szCs w:val="18"/>
        </w:rPr>
        <w:t xml:space="preserve"> of </w:t>
      </w:r>
      <w:proofErr w:type="spellStart"/>
      <w:r w:rsidRPr="00433FC0">
        <w:rPr>
          <w:i/>
          <w:sz w:val="18"/>
          <w:szCs w:val="18"/>
        </w:rPr>
        <w:t>Modernity</w:t>
      </w:r>
      <w:proofErr w:type="spellEnd"/>
      <w:r w:rsidRPr="00433FC0">
        <w:rPr>
          <w:sz w:val="18"/>
          <w:szCs w:val="18"/>
        </w:rPr>
        <w:t xml:space="preserve">, in </w:t>
      </w:r>
      <w:r w:rsidRPr="00433FC0">
        <w:rPr>
          <w:i/>
          <w:sz w:val="18"/>
          <w:szCs w:val="18"/>
        </w:rPr>
        <w:t xml:space="preserve">The </w:t>
      </w:r>
      <w:proofErr w:type="spellStart"/>
      <w:r w:rsidRPr="00433FC0">
        <w:rPr>
          <w:i/>
          <w:sz w:val="18"/>
          <w:szCs w:val="18"/>
        </w:rPr>
        <w:t>Cornel</w:t>
      </w:r>
      <w:proofErr w:type="spellEnd"/>
      <w:r w:rsidRPr="00433FC0">
        <w:rPr>
          <w:i/>
          <w:sz w:val="18"/>
          <w:szCs w:val="18"/>
        </w:rPr>
        <w:t xml:space="preserve"> West Reader</w:t>
      </w:r>
      <w:r w:rsidRPr="00433FC0">
        <w:rPr>
          <w:sz w:val="18"/>
          <w:szCs w:val="18"/>
        </w:rPr>
        <w:t xml:space="preserve">, New York, Basic Civitas Books, 1999, p. 58. </w:t>
      </w:r>
    </w:p>
  </w:footnote>
  <w:footnote w:id="42">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M. Battistini, </w:t>
      </w:r>
      <w:r w:rsidRPr="00433FC0">
        <w:rPr>
          <w:i/>
          <w:sz w:val="18"/>
          <w:szCs w:val="18"/>
        </w:rPr>
        <w:t>Una rivoluzione per lo Stato</w:t>
      </w:r>
      <w:r w:rsidRPr="00433FC0">
        <w:rPr>
          <w:sz w:val="18"/>
          <w:szCs w:val="18"/>
        </w:rPr>
        <w:t xml:space="preserve">. </w:t>
      </w:r>
      <w:r w:rsidRPr="00433FC0">
        <w:rPr>
          <w:i/>
          <w:sz w:val="18"/>
          <w:szCs w:val="18"/>
        </w:rPr>
        <w:t xml:space="preserve">Thomas </w:t>
      </w:r>
      <w:proofErr w:type="spellStart"/>
      <w:r w:rsidRPr="00433FC0">
        <w:rPr>
          <w:i/>
          <w:sz w:val="18"/>
          <w:szCs w:val="18"/>
        </w:rPr>
        <w:t>Paine</w:t>
      </w:r>
      <w:proofErr w:type="spellEnd"/>
      <w:r w:rsidRPr="00433FC0">
        <w:rPr>
          <w:i/>
          <w:sz w:val="18"/>
          <w:szCs w:val="18"/>
        </w:rPr>
        <w:t xml:space="preserve"> e la rivoluzione americana nel mondo atlantico</w:t>
      </w:r>
      <w:r w:rsidRPr="00433FC0">
        <w:rPr>
          <w:sz w:val="18"/>
          <w:szCs w:val="18"/>
        </w:rPr>
        <w:t xml:space="preserve">, Soveria Mannelli, </w:t>
      </w:r>
      <w:proofErr w:type="spellStart"/>
      <w:r w:rsidRPr="00433FC0">
        <w:rPr>
          <w:sz w:val="18"/>
          <w:szCs w:val="18"/>
        </w:rPr>
        <w:t>Rubettino</w:t>
      </w:r>
      <w:proofErr w:type="spellEnd"/>
      <w:r w:rsidRPr="00433FC0">
        <w:rPr>
          <w:sz w:val="18"/>
          <w:szCs w:val="18"/>
        </w:rPr>
        <w:t xml:space="preserve">, 2010. </w:t>
      </w:r>
    </w:p>
  </w:footnote>
  <w:footnote w:id="43">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r w:rsidRPr="00433FC0">
        <w:rPr>
          <w:i/>
          <w:sz w:val="18"/>
          <w:szCs w:val="18"/>
        </w:rPr>
        <w:t>Senso comune</w:t>
      </w:r>
      <w:r w:rsidRPr="00433FC0">
        <w:rPr>
          <w:sz w:val="18"/>
          <w:szCs w:val="18"/>
        </w:rPr>
        <w:t xml:space="preserve">, Roma, Editori Riuniti, 1978, pp. 85-86. </w:t>
      </w:r>
    </w:p>
  </w:footnote>
  <w:footnote w:id="44">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«Ho tratto la mia idea della forma di governo da un principio di natura che nessun artificio può rovesciare» (ivi, p. 71). </w:t>
      </w:r>
    </w:p>
  </w:footnote>
  <w:footnote w:id="45">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Ivi, p. 70. </w:t>
      </w:r>
    </w:p>
  </w:footnote>
  <w:footnote w:id="46">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r w:rsidRPr="00433FC0">
        <w:rPr>
          <w:i/>
          <w:sz w:val="18"/>
          <w:szCs w:val="18"/>
        </w:rPr>
        <w:t xml:space="preserve">The </w:t>
      </w:r>
      <w:proofErr w:type="spellStart"/>
      <w:r w:rsidRPr="00433FC0">
        <w:rPr>
          <w:i/>
          <w:sz w:val="18"/>
          <w:szCs w:val="18"/>
        </w:rPr>
        <w:t>Crisis</w:t>
      </w:r>
      <w:proofErr w:type="spellEnd"/>
      <w:r w:rsidRPr="00433FC0">
        <w:rPr>
          <w:i/>
          <w:sz w:val="18"/>
          <w:szCs w:val="18"/>
        </w:rPr>
        <w:t xml:space="preserve"> XIII</w:t>
      </w:r>
      <w:r w:rsidRPr="00433FC0">
        <w:rPr>
          <w:sz w:val="18"/>
          <w:szCs w:val="18"/>
        </w:rPr>
        <w:t xml:space="preserve">, in </w:t>
      </w:r>
      <w:proofErr w:type="spellStart"/>
      <w:r w:rsidRPr="00433FC0">
        <w:rPr>
          <w:i/>
          <w:sz w:val="18"/>
          <w:szCs w:val="18"/>
        </w:rPr>
        <w:t>Collected</w:t>
      </w:r>
      <w:proofErr w:type="spellEnd"/>
      <w:r w:rsidRPr="00433FC0">
        <w:rPr>
          <w:i/>
          <w:sz w:val="18"/>
          <w:szCs w:val="18"/>
        </w:rPr>
        <w:t xml:space="preserve"> </w:t>
      </w:r>
      <w:proofErr w:type="spellStart"/>
      <w:r w:rsidRPr="00433FC0">
        <w:rPr>
          <w:i/>
          <w:sz w:val="18"/>
          <w:szCs w:val="18"/>
        </w:rPr>
        <w:t>Writings</w:t>
      </w:r>
      <w:proofErr w:type="spellEnd"/>
      <w:r w:rsidRPr="00433FC0">
        <w:rPr>
          <w:sz w:val="18"/>
          <w:szCs w:val="18"/>
        </w:rPr>
        <w:t xml:space="preserve">, ed. E. </w:t>
      </w:r>
      <w:proofErr w:type="spellStart"/>
      <w:r w:rsidRPr="00433FC0">
        <w:rPr>
          <w:sz w:val="18"/>
          <w:szCs w:val="18"/>
        </w:rPr>
        <w:t>Foner</w:t>
      </w:r>
      <w:proofErr w:type="spellEnd"/>
      <w:r w:rsidRPr="00433FC0">
        <w:rPr>
          <w:sz w:val="18"/>
          <w:szCs w:val="18"/>
        </w:rPr>
        <w:t xml:space="preserve">, New York, </w:t>
      </w:r>
      <w:proofErr w:type="spellStart"/>
      <w:r w:rsidRPr="00433FC0">
        <w:rPr>
          <w:sz w:val="18"/>
          <w:szCs w:val="18"/>
        </w:rPr>
        <w:t>Literary</w:t>
      </w:r>
      <w:proofErr w:type="spellEnd"/>
      <w:r w:rsidRPr="00433FC0">
        <w:rPr>
          <w:sz w:val="18"/>
          <w:szCs w:val="18"/>
        </w:rPr>
        <w:t xml:space="preserve"> </w:t>
      </w:r>
      <w:proofErr w:type="spellStart"/>
      <w:r w:rsidRPr="00433FC0">
        <w:rPr>
          <w:sz w:val="18"/>
          <w:szCs w:val="18"/>
        </w:rPr>
        <w:t>Classics</w:t>
      </w:r>
      <w:proofErr w:type="spellEnd"/>
      <w:r w:rsidRPr="00433FC0">
        <w:rPr>
          <w:sz w:val="18"/>
          <w:szCs w:val="18"/>
        </w:rPr>
        <w:t xml:space="preserve"> of the </w:t>
      </w:r>
      <w:proofErr w:type="spellStart"/>
      <w:r w:rsidRPr="00433FC0">
        <w:rPr>
          <w:sz w:val="18"/>
          <w:szCs w:val="18"/>
        </w:rPr>
        <w:t>United</w:t>
      </w:r>
      <w:proofErr w:type="spellEnd"/>
      <w:r w:rsidRPr="00433FC0">
        <w:rPr>
          <w:sz w:val="18"/>
          <w:szCs w:val="18"/>
        </w:rPr>
        <w:t xml:space="preserve"> </w:t>
      </w:r>
      <w:proofErr w:type="spellStart"/>
      <w:r w:rsidRPr="00433FC0">
        <w:rPr>
          <w:sz w:val="18"/>
          <w:szCs w:val="18"/>
        </w:rPr>
        <w:t>States</w:t>
      </w:r>
      <w:proofErr w:type="spellEnd"/>
      <w:r w:rsidRPr="00433FC0">
        <w:rPr>
          <w:sz w:val="18"/>
          <w:szCs w:val="18"/>
        </w:rPr>
        <w:t xml:space="preserve">, 1995, p. 350. </w:t>
      </w:r>
    </w:p>
  </w:footnote>
  <w:footnote w:id="47">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w:t>
      </w:r>
      <w:r w:rsidRPr="00433FC0">
        <w:rPr>
          <w:i/>
          <w:sz w:val="18"/>
          <w:szCs w:val="18"/>
        </w:rPr>
        <w:t xml:space="preserve">Adams Family </w:t>
      </w:r>
      <w:proofErr w:type="spellStart"/>
      <w:r w:rsidRPr="00433FC0">
        <w:rPr>
          <w:i/>
          <w:sz w:val="18"/>
          <w:szCs w:val="18"/>
        </w:rPr>
        <w:t>Correspondence</w:t>
      </w:r>
      <w:proofErr w:type="spellEnd"/>
      <w:r w:rsidRPr="00433FC0">
        <w:rPr>
          <w:sz w:val="18"/>
          <w:szCs w:val="18"/>
        </w:rPr>
        <w:t xml:space="preserve">, ed. </w:t>
      </w:r>
      <w:proofErr w:type="spellStart"/>
      <w:r w:rsidRPr="00433FC0">
        <w:rPr>
          <w:sz w:val="18"/>
          <w:szCs w:val="18"/>
        </w:rPr>
        <w:t>Butterfield</w:t>
      </w:r>
      <w:proofErr w:type="spellEnd"/>
      <w:r w:rsidRPr="00433FC0">
        <w:rPr>
          <w:sz w:val="18"/>
          <w:szCs w:val="18"/>
        </w:rPr>
        <w:t xml:space="preserve">, </w:t>
      </w:r>
      <w:proofErr w:type="spellStart"/>
      <w:r w:rsidRPr="00433FC0">
        <w:rPr>
          <w:sz w:val="18"/>
          <w:szCs w:val="18"/>
        </w:rPr>
        <w:t>vol</w:t>
      </w:r>
      <w:proofErr w:type="spellEnd"/>
      <w:r w:rsidRPr="00433FC0">
        <w:rPr>
          <w:sz w:val="18"/>
          <w:szCs w:val="18"/>
        </w:rPr>
        <w:t xml:space="preserve"> I, Cambridge (Mass.), Harvard </w:t>
      </w:r>
      <w:proofErr w:type="spellStart"/>
      <w:r w:rsidRPr="00433FC0">
        <w:rPr>
          <w:sz w:val="18"/>
          <w:szCs w:val="18"/>
        </w:rPr>
        <w:t>University</w:t>
      </w:r>
      <w:proofErr w:type="spellEnd"/>
      <w:r w:rsidRPr="00433FC0">
        <w:rPr>
          <w:sz w:val="18"/>
          <w:szCs w:val="18"/>
        </w:rPr>
        <w:t xml:space="preserve"> Press, 1963-1993, pp. 369-371. </w:t>
      </w:r>
    </w:p>
  </w:footnote>
  <w:footnote w:id="48">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r w:rsidRPr="00433FC0">
        <w:rPr>
          <w:i/>
          <w:sz w:val="18"/>
          <w:szCs w:val="18"/>
        </w:rPr>
        <w:t>Senso comune</w:t>
      </w:r>
      <w:r w:rsidRPr="00433FC0">
        <w:rPr>
          <w:sz w:val="18"/>
          <w:szCs w:val="18"/>
        </w:rPr>
        <w:t xml:space="preserve">, cit., pp. 96-97. </w:t>
      </w:r>
    </w:p>
  </w:footnote>
  <w:footnote w:id="49">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w:t>
      </w:r>
      <w:r w:rsidRPr="00433FC0">
        <w:rPr>
          <w:i/>
          <w:sz w:val="18"/>
          <w:szCs w:val="18"/>
        </w:rPr>
        <w:t>Ibidem</w:t>
      </w:r>
      <w:r w:rsidRPr="00433FC0">
        <w:rPr>
          <w:sz w:val="18"/>
          <w:szCs w:val="18"/>
        </w:rPr>
        <w:t xml:space="preserve">. </w:t>
      </w:r>
    </w:p>
  </w:footnote>
  <w:footnote w:id="50">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Sul significato della frontiera nella storia americana, il riferimento classico è F.J. </w:t>
      </w:r>
      <w:proofErr w:type="spellStart"/>
      <w:r w:rsidRPr="00433FC0">
        <w:rPr>
          <w:sz w:val="18"/>
          <w:szCs w:val="18"/>
        </w:rPr>
        <w:t>Tuner</w:t>
      </w:r>
      <w:proofErr w:type="spellEnd"/>
      <w:r w:rsidRPr="00433FC0">
        <w:rPr>
          <w:sz w:val="18"/>
          <w:szCs w:val="18"/>
        </w:rPr>
        <w:t xml:space="preserve">, </w:t>
      </w:r>
      <w:r w:rsidRPr="00433FC0">
        <w:rPr>
          <w:i/>
          <w:sz w:val="18"/>
          <w:szCs w:val="18"/>
        </w:rPr>
        <w:t>La frontiera nella storia americana</w:t>
      </w:r>
      <w:r w:rsidRPr="00433FC0">
        <w:rPr>
          <w:sz w:val="18"/>
          <w:szCs w:val="18"/>
        </w:rPr>
        <w:t xml:space="preserve">, Bologna, Il Mulino, 1975. Ma si vedano anche R.A. </w:t>
      </w:r>
      <w:proofErr w:type="spellStart"/>
      <w:r w:rsidRPr="00433FC0">
        <w:rPr>
          <w:sz w:val="18"/>
          <w:szCs w:val="18"/>
        </w:rPr>
        <w:t>Billington</w:t>
      </w:r>
      <w:proofErr w:type="spellEnd"/>
      <w:r w:rsidRPr="00433FC0">
        <w:rPr>
          <w:sz w:val="18"/>
          <w:szCs w:val="18"/>
        </w:rPr>
        <w:t xml:space="preserve">, </w:t>
      </w:r>
      <w:r w:rsidRPr="00433FC0">
        <w:rPr>
          <w:i/>
          <w:sz w:val="18"/>
          <w:szCs w:val="18"/>
        </w:rPr>
        <w:t xml:space="preserve">The American </w:t>
      </w:r>
      <w:proofErr w:type="spellStart"/>
      <w:r w:rsidRPr="00433FC0">
        <w:rPr>
          <w:i/>
          <w:sz w:val="18"/>
          <w:szCs w:val="18"/>
        </w:rPr>
        <w:t>Frontier</w:t>
      </w:r>
      <w:proofErr w:type="spellEnd"/>
      <w:r w:rsidRPr="00433FC0">
        <w:rPr>
          <w:sz w:val="18"/>
          <w:szCs w:val="18"/>
        </w:rPr>
        <w:t xml:space="preserve">, Washington, American Historical </w:t>
      </w:r>
      <w:proofErr w:type="spellStart"/>
      <w:r w:rsidRPr="00433FC0">
        <w:rPr>
          <w:sz w:val="18"/>
          <w:szCs w:val="18"/>
        </w:rPr>
        <w:t>Association</w:t>
      </w:r>
      <w:proofErr w:type="spellEnd"/>
      <w:r w:rsidRPr="00433FC0">
        <w:rPr>
          <w:sz w:val="18"/>
          <w:szCs w:val="18"/>
        </w:rPr>
        <w:t xml:space="preserve">, 1965 e R.W. </w:t>
      </w:r>
      <w:proofErr w:type="spellStart"/>
      <w:r w:rsidRPr="00433FC0">
        <w:rPr>
          <w:sz w:val="18"/>
          <w:szCs w:val="18"/>
        </w:rPr>
        <w:t>Etulain</w:t>
      </w:r>
      <w:proofErr w:type="spellEnd"/>
      <w:r w:rsidRPr="00433FC0">
        <w:rPr>
          <w:sz w:val="18"/>
          <w:szCs w:val="18"/>
        </w:rPr>
        <w:t xml:space="preserve">, </w:t>
      </w:r>
      <w:proofErr w:type="spellStart"/>
      <w:r w:rsidRPr="00433FC0">
        <w:rPr>
          <w:i/>
          <w:sz w:val="18"/>
          <w:szCs w:val="18"/>
        </w:rPr>
        <w:t>Does</w:t>
      </w:r>
      <w:proofErr w:type="spellEnd"/>
      <w:r w:rsidRPr="00433FC0">
        <w:rPr>
          <w:i/>
          <w:sz w:val="18"/>
          <w:szCs w:val="18"/>
        </w:rPr>
        <w:t xml:space="preserve"> the </w:t>
      </w:r>
      <w:proofErr w:type="spellStart"/>
      <w:r w:rsidRPr="00433FC0">
        <w:rPr>
          <w:i/>
          <w:sz w:val="18"/>
          <w:szCs w:val="18"/>
        </w:rPr>
        <w:t>Frontier</w:t>
      </w:r>
      <w:proofErr w:type="spellEnd"/>
      <w:r w:rsidRPr="00433FC0">
        <w:rPr>
          <w:i/>
          <w:sz w:val="18"/>
          <w:szCs w:val="18"/>
        </w:rPr>
        <w:t xml:space="preserve"> Experience Make America </w:t>
      </w:r>
      <w:proofErr w:type="spellStart"/>
      <w:proofErr w:type="gramStart"/>
      <w:r w:rsidRPr="00433FC0">
        <w:rPr>
          <w:i/>
          <w:sz w:val="18"/>
          <w:szCs w:val="18"/>
        </w:rPr>
        <w:t>Exceptional</w:t>
      </w:r>
      <w:proofErr w:type="spellEnd"/>
      <w:r w:rsidRPr="00433FC0">
        <w:rPr>
          <w:i/>
          <w:sz w:val="18"/>
          <w:szCs w:val="18"/>
        </w:rPr>
        <w:t>?</w:t>
      </w:r>
      <w:r w:rsidRPr="00433FC0">
        <w:rPr>
          <w:sz w:val="18"/>
          <w:szCs w:val="18"/>
        </w:rPr>
        <w:t>,</w:t>
      </w:r>
      <w:proofErr w:type="gramEnd"/>
      <w:r w:rsidRPr="00433FC0">
        <w:rPr>
          <w:sz w:val="18"/>
          <w:szCs w:val="18"/>
        </w:rPr>
        <w:t xml:space="preserve"> New York, </w:t>
      </w:r>
      <w:proofErr w:type="spellStart"/>
      <w:r w:rsidRPr="00433FC0">
        <w:rPr>
          <w:sz w:val="18"/>
          <w:szCs w:val="18"/>
        </w:rPr>
        <w:t>Palgrave</w:t>
      </w:r>
      <w:proofErr w:type="spellEnd"/>
      <w:r w:rsidRPr="00433FC0">
        <w:rPr>
          <w:sz w:val="18"/>
          <w:szCs w:val="18"/>
        </w:rPr>
        <w:t xml:space="preserve"> McMillan, 1999. </w:t>
      </w:r>
    </w:p>
  </w:footnote>
  <w:footnote w:id="51">
    <w:p w:rsidR="00545B3D" w:rsidRPr="00433FC0" w:rsidRDefault="004632E2" w:rsidP="000D1026">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K. Marx, </w:t>
      </w:r>
      <w:r w:rsidRPr="00433FC0">
        <w:rPr>
          <w:i/>
          <w:sz w:val="18"/>
          <w:szCs w:val="18"/>
        </w:rPr>
        <w:t>Il capitale</w:t>
      </w:r>
      <w:r w:rsidRPr="00433FC0">
        <w:rPr>
          <w:sz w:val="18"/>
          <w:szCs w:val="18"/>
        </w:rPr>
        <w:t xml:space="preserve">, Libro I, </w:t>
      </w:r>
      <w:proofErr w:type="spellStart"/>
      <w:r w:rsidRPr="00433FC0">
        <w:rPr>
          <w:sz w:val="18"/>
          <w:szCs w:val="18"/>
        </w:rPr>
        <w:t>tr</w:t>
      </w:r>
      <w:proofErr w:type="spellEnd"/>
      <w:r w:rsidRPr="00433FC0">
        <w:rPr>
          <w:sz w:val="18"/>
          <w:szCs w:val="18"/>
        </w:rPr>
        <w:t xml:space="preserve">. </w:t>
      </w:r>
      <w:proofErr w:type="spellStart"/>
      <w:r w:rsidRPr="00433FC0">
        <w:rPr>
          <w:sz w:val="18"/>
          <w:szCs w:val="18"/>
        </w:rPr>
        <w:t>it</w:t>
      </w:r>
      <w:proofErr w:type="spellEnd"/>
      <w:r w:rsidRPr="00433FC0">
        <w:rPr>
          <w:sz w:val="18"/>
          <w:szCs w:val="18"/>
        </w:rPr>
        <w:t xml:space="preserve">. Roma, Editori Riuniti, 1989, cap. XXV, p. 832. </w:t>
      </w:r>
    </w:p>
  </w:footnote>
  <w:footnote w:id="52">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r w:rsidRPr="00433FC0">
        <w:rPr>
          <w:i/>
          <w:sz w:val="18"/>
          <w:szCs w:val="18"/>
        </w:rPr>
        <w:t xml:space="preserve">Public </w:t>
      </w:r>
      <w:proofErr w:type="spellStart"/>
      <w:r w:rsidRPr="00433FC0">
        <w:rPr>
          <w:i/>
          <w:sz w:val="18"/>
          <w:szCs w:val="18"/>
        </w:rPr>
        <w:t>good</w:t>
      </w:r>
      <w:proofErr w:type="spellEnd"/>
      <w:r w:rsidRPr="00433FC0">
        <w:rPr>
          <w:sz w:val="18"/>
          <w:szCs w:val="18"/>
        </w:rPr>
        <w:t xml:space="preserve">, in </w:t>
      </w:r>
      <w:proofErr w:type="spellStart"/>
      <w:r w:rsidRPr="00433FC0">
        <w:rPr>
          <w:i/>
          <w:sz w:val="18"/>
          <w:szCs w:val="18"/>
        </w:rPr>
        <w:t>Collected</w:t>
      </w:r>
      <w:proofErr w:type="spellEnd"/>
      <w:r w:rsidRPr="00433FC0">
        <w:rPr>
          <w:i/>
          <w:sz w:val="18"/>
          <w:szCs w:val="18"/>
        </w:rPr>
        <w:t xml:space="preserve"> </w:t>
      </w:r>
      <w:proofErr w:type="spellStart"/>
      <w:r w:rsidRPr="00433FC0">
        <w:rPr>
          <w:i/>
          <w:sz w:val="18"/>
          <w:szCs w:val="18"/>
        </w:rPr>
        <w:t>Writings</w:t>
      </w:r>
      <w:proofErr w:type="spellEnd"/>
      <w:r w:rsidRPr="00433FC0">
        <w:rPr>
          <w:sz w:val="18"/>
          <w:szCs w:val="18"/>
        </w:rPr>
        <w:t xml:space="preserve">, cit., pp. 255-259. </w:t>
      </w:r>
    </w:p>
  </w:footnote>
  <w:footnote w:id="53">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proofErr w:type="spellStart"/>
      <w:r w:rsidRPr="00433FC0">
        <w:rPr>
          <w:i/>
          <w:sz w:val="18"/>
          <w:szCs w:val="18"/>
        </w:rPr>
        <w:t>Six</w:t>
      </w:r>
      <w:proofErr w:type="spellEnd"/>
      <w:r w:rsidRPr="00433FC0">
        <w:rPr>
          <w:i/>
          <w:sz w:val="18"/>
          <w:szCs w:val="18"/>
        </w:rPr>
        <w:t xml:space="preserve"> </w:t>
      </w:r>
      <w:proofErr w:type="spellStart"/>
      <w:r w:rsidRPr="00433FC0">
        <w:rPr>
          <w:i/>
          <w:sz w:val="18"/>
          <w:szCs w:val="18"/>
        </w:rPr>
        <w:t>Letters</w:t>
      </w:r>
      <w:proofErr w:type="spellEnd"/>
      <w:r w:rsidRPr="00433FC0">
        <w:rPr>
          <w:i/>
          <w:sz w:val="18"/>
          <w:szCs w:val="18"/>
        </w:rPr>
        <w:t xml:space="preserve"> to Rhode Island</w:t>
      </w:r>
      <w:r w:rsidRPr="00433FC0">
        <w:rPr>
          <w:sz w:val="18"/>
          <w:szCs w:val="18"/>
        </w:rPr>
        <w:t xml:space="preserve">, in </w:t>
      </w:r>
      <w:r w:rsidRPr="00433FC0">
        <w:rPr>
          <w:i/>
          <w:sz w:val="18"/>
          <w:szCs w:val="18"/>
        </w:rPr>
        <w:t xml:space="preserve">Complete </w:t>
      </w:r>
      <w:proofErr w:type="spellStart"/>
      <w:r w:rsidRPr="00433FC0">
        <w:rPr>
          <w:i/>
          <w:sz w:val="18"/>
          <w:szCs w:val="18"/>
        </w:rPr>
        <w:t>Writings</w:t>
      </w:r>
      <w:proofErr w:type="spellEnd"/>
      <w:r w:rsidRPr="00433FC0">
        <w:rPr>
          <w:i/>
          <w:sz w:val="18"/>
          <w:szCs w:val="18"/>
        </w:rPr>
        <w:t xml:space="preserve"> of Thomas </w:t>
      </w:r>
      <w:proofErr w:type="spellStart"/>
      <w:r w:rsidRPr="00433FC0">
        <w:rPr>
          <w:i/>
          <w:sz w:val="18"/>
          <w:szCs w:val="18"/>
        </w:rPr>
        <w:t>Paine</w:t>
      </w:r>
      <w:proofErr w:type="spellEnd"/>
      <w:r w:rsidRPr="00433FC0">
        <w:rPr>
          <w:sz w:val="18"/>
          <w:szCs w:val="18"/>
        </w:rPr>
        <w:t xml:space="preserve">, vol. 2, ed. </w:t>
      </w:r>
      <w:proofErr w:type="spellStart"/>
      <w:r w:rsidRPr="00433FC0">
        <w:rPr>
          <w:sz w:val="18"/>
          <w:szCs w:val="18"/>
        </w:rPr>
        <w:t>Ph</w:t>
      </w:r>
      <w:proofErr w:type="spellEnd"/>
      <w:r w:rsidRPr="00433FC0">
        <w:rPr>
          <w:sz w:val="18"/>
          <w:szCs w:val="18"/>
        </w:rPr>
        <w:t xml:space="preserve">. </w:t>
      </w:r>
      <w:proofErr w:type="spellStart"/>
      <w:r w:rsidRPr="00433FC0">
        <w:rPr>
          <w:sz w:val="18"/>
          <w:szCs w:val="18"/>
        </w:rPr>
        <w:t>Foner</w:t>
      </w:r>
      <w:proofErr w:type="spellEnd"/>
      <w:r w:rsidRPr="00433FC0">
        <w:rPr>
          <w:sz w:val="18"/>
          <w:szCs w:val="18"/>
        </w:rPr>
        <w:t xml:space="preserve">, New York, The </w:t>
      </w:r>
      <w:proofErr w:type="spellStart"/>
      <w:r w:rsidRPr="00433FC0">
        <w:rPr>
          <w:sz w:val="18"/>
          <w:szCs w:val="18"/>
        </w:rPr>
        <w:t>Citadel</w:t>
      </w:r>
      <w:proofErr w:type="spellEnd"/>
      <w:r w:rsidRPr="00433FC0">
        <w:rPr>
          <w:sz w:val="18"/>
          <w:szCs w:val="18"/>
        </w:rPr>
        <w:t xml:space="preserve"> Press, 1945, pp. 345-346. </w:t>
      </w:r>
    </w:p>
  </w:footnote>
  <w:footnote w:id="54">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Sul concetto di «assemblaggio» cfr. S. </w:t>
      </w:r>
      <w:proofErr w:type="spellStart"/>
      <w:r w:rsidRPr="00433FC0">
        <w:rPr>
          <w:sz w:val="18"/>
          <w:szCs w:val="18"/>
        </w:rPr>
        <w:t>Sassen</w:t>
      </w:r>
      <w:proofErr w:type="spellEnd"/>
      <w:r w:rsidRPr="00433FC0">
        <w:rPr>
          <w:sz w:val="18"/>
          <w:szCs w:val="18"/>
        </w:rPr>
        <w:t xml:space="preserve">, </w:t>
      </w:r>
      <w:r w:rsidRPr="00433FC0">
        <w:rPr>
          <w:i/>
          <w:sz w:val="18"/>
          <w:szCs w:val="18"/>
        </w:rPr>
        <w:t>Territorio</w:t>
      </w:r>
      <w:r w:rsidRPr="00433FC0">
        <w:rPr>
          <w:sz w:val="18"/>
          <w:szCs w:val="18"/>
        </w:rPr>
        <w:t xml:space="preserve">, </w:t>
      </w:r>
      <w:r w:rsidRPr="00433FC0">
        <w:rPr>
          <w:i/>
          <w:sz w:val="18"/>
          <w:szCs w:val="18"/>
        </w:rPr>
        <w:t>autorità</w:t>
      </w:r>
      <w:r w:rsidRPr="00433FC0">
        <w:rPr>
          <w:sz w:val="18"/>
          <w:szCs w:val="18"/>
        </w:rPr>
        <w:t xml:space="preserve">, </w:t>
      </w:r>
      <w:r w:rsidRPr="00433FC0">
        <w:rPr>
          <w:i/>
          <w:sz w:val="18"/>
          <w:szCs w:val="18"/>
        </w:rPr>
        <w:t>diritti</w:t>
      </w:r>
      <w:r w:rsidRPr="00433FC0">
        <w:rPr>
          <w:sz w:val="18"/>
          <w:szCs w:val="18"/>
        </w:rPr>
        <w:t xml:space="preserve">, Milano, Bruno Mondadori, 2008. </w:t>
      </w:r>
    </w:p>
  </w:footnote>
  <w:footnote w:id="55">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P.S. </w:t>
      </w:r>
      <w:proofErr w:type="spellStart"/>
      <w:r w:rsidRPr="00433FC0">
        <w:rPr>
          <w:sz w:val="18"/>
          <w:szCs w:val="18"/>
        </w:rPr>
        <w:t>Golub</w:t>
      </w:r>
      <w:proofErr w:type="spellEnd"/>
      <w:r w:rsidRPr="00433FC0">
        <w:rPr>
          <w:sz w:val="18"/>
          <w:szCs w:val="18"/>
        </w:rPr>
        <w:t xml:space="preserve">, </w:t>
      </w:r>
      <w:r w:rsidRPr="00433FC0">
        <w:rPr>
          <w:i/>
          <w:sz w:val="18"/>
          <w:szCs w:val="18"/>
        </w:rPr>
        <w:t>Power</w:t>
      </w:r>
      <w:r w:rsidRPr="00433FC0">
        <w:rPr>
          <w:sz w:val="18"/>
          <w:szCs w:val="18"/>
        </w:rPr>
        <w:t xml:space="preserve">, </w:t>
      </w:r>
      <w:r w:rsidRPr="00433FC0">
        <w:rPr>
          <w:i/>
          <w:sz w:val="18"/>
          <w:szCs w:val="18"/>
        </w:rPr>
        <w:t>Profit</w:t>
      </w:r>
      <w:r w:rsidRPr="00433FC0">
        <w:rPr>
          <w:sz w:val="18"/>
          <w:szCs w:val="18"/>
        </w:rPr>
        <w:t xml:space="preserve">, </w:t>
      </w:r>
      <w:r w:rsidRPr="00433FC0">
        <w:rPr>
          <w:i/>
          <w:sz w:val="18"/>
          <w:szCs w:val="18"/>
        </w:rPr>
        <w:t>and Prestige</w:t>
      </w:r>
      <w:r w:rsidRPr="00433FC0">
        <w:rPr>
          <w:sz w:val="18"/>
          <w:szCs w:val="18"/>
        </w:rPr>
        <w:t xml:space="preserve">: </w:t>
      </w:r>
      <w:r w:rsidRPr="00433FC0">
        <w:rPr>
          <w:i/>
          <w:sz w:val="18"/>
          <w:szCs w:val="18"/>
        </w:rPr>
        <w:t>A History of American Imperial Expansion</w:t>
      </w:r>
      <w:r w:rsidRPr="00433FC0">
        <w:rPr>
          <w:sz w:val="18"/>
          <w:szCs w:val="18"/>
        </w:rPr>
        <w:t xml:space="preserve">, New York, Pluto press, 2010. </w:t>
      </w:r>
    </w:p>
  </w:footnote>
  <w:footnote w:id="56">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T. </w:t>
      </w:r>
      <w:proofErr w:type="spellStart"/>
      <w:r w:rsidRPr="00433FC0">
        <w:rPr>
          <w:sz w:val="18"/>
          <w:szCs w:val="18"/>
        </w:rPr>
        <w:t>Paine</w:t>
      </w:r>
      <w:proofErr w:type="spellEnd"/>
      <w:r w:rsidRPr="00433FC0">
        <w:rPr>
          <w:sz w:val="18"/>
          <w:szCs w:val="18"/>
        </w:rPr>
        <w:t xml:space="preserve">, </w:t>
      </w:r>
      <w:r w:rsidRPr="00433FC0">
        <w:rPr>
          <w:i/>
          <w:sz w:val="18"/>
          <w:szCs w:val="18"/>
        </w:rPr>
        <w:t xml:space="preserve">Peace and the </w:t>
      </w:r>
      <w:proofErr w:type="spellStart"/>
      <w:r w:rsidRPr="00433FC0">
        <w:rPr>
          <w:i/>
          <w:sz w:val="18"/>
          <w:szCs w:val="18"/>
        </w:rPr>
        <w:t>Newfoundland</w:t>
      </w:r>
      <w:proofErr w:type="spellEnd"/>
      <w:r w:rsidRPr="00433FC0">
        <w:rPr>
          <w:i/>
          <w:sz w:val="18"/>
          <w:szCs w:val="18"/>
        </w:rPr>
        <w:t xml:space="preserve"> </w:t>
      </w:r>
      <w:proofErr w:type="spellStart"/>
      <w:r w:rsidRPr="00433FC0">
        <w:rPr>
          <w:i/>
          <w:sz w:val="18"/>
          <w:szCs w:val="18"/>
        </w:rPr>
        <w:t>Fisheries</w:t>
      </w:r>
      <w:proofErr w:type="spellEnd"/>
      <w:r w:rsidRPr="00433FC0">
        <w:rPr>
          <w:sz w:val="18"/>
          <w:szCs w:val="18"/>
        </w:rPr>
        <w:t xml:space="preserve">, in </w:t>
      </w:r>
      <w:r w:rsidRPr="00433FC0">
        <w:rPr>
          <w:i/>
          <w:sz w:val="18"/>
          <w:szCs w:val="18"/>
        </w:rPr>
        <w:t xml:space="preserve">Complete </w:t>
      </w:r>
      <w:proofErr w:type="spellStart"/>
      <w:r w:rsidRPr="00433FC0">
        <w:rPr>
          <w:i/>
          <w:sz w:val="18"/>
          <w:szCs w:val="18"/>
        </w:rPr>
        <w:t>Writings</w:t>
      </w:r>
      <w:proofErr w:type="spellEnd"/>
      <w:r w:rsidRPr="00433FC0">
        <w:rPr>
          <w:i/>
          <w:sz w:val="18"/>
          <w:szCs w:val="18"/>
        </w:rPr>
        <w:t xml:space="preserve"> of Thomas </w:t>
      </w:r>
      <w:proofErr w:type="spellStart"/>
      <w:r w:rsidRPr="00433FC0">
        <w:rPr>
          <w:i/>
          <w:sz w:val="18"/>
          <w:szCs w:val="18"/>
        </w:rPr>
        <w:t>Paine</w:t>
      </w:r>
      <w:proofErr w:type="spellEnd"/>
      <w:r w:rsidRPr="00433FC0">
        <w:rPr>
          <w:sz w:val="18"/>
          <w:szCs w:val="18"/>
        </w:rPr>
        <w:t xml:space="preserve">, cit., pp. 189-207; M. Battistini, </w:t>
      </w:r>
      <w:r w:rsidRPr="00433FC0">
        <w:rPr>
          <w:i/>
          <w:sz w:val="18"/>
          <w:szCs w:val="18"/>
        </w:rPr>
        <w:t>Una rivoluzione per lo Stato</w:t>
      </w:r>
      <w:r w:rsidRPr="00433FC0">
        <w:rPr>
          <w:sz w:val="18"/>
          <w:szCs w:val="18"/>
        </w:rPr>
        <w:t xml:space="preserve">, cit., pp. 159-160. </w:t>
      </w:r>
    </w:p>
  </w:footnote>
  <w:footnote w:id="57">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Si vedano, tra gli altri, A. </w:t>
      </w:r>
      <w:proofErr w:type="spellStart"/>
      <w:r w:rsidRPr="00433FC0">
        <w:rPr>
          <w:sz w:val="18"/>
          <w:szCs w:val="18"/>
        </w:rPr>
        <w:t>Hunt</w:t>
      </w:r>
      <w:proofErr w:type="spellEnd"/>
      <w:r w:rsidRPr="00433FC0">
        <w:rPr>
          <w:sz w:val="18"/>
          <w:szCs w:val="18"/>
        </w:rPr>
        <w:t xml:space="preserve"> – G. </w:t>
      </w:r>
      <w:proofErr w:type="spellStart"/>
      <w:r w:rsidRPr="00433FC0">
        <w:rPr>
          <w:sz w:val="18"/>
          <w:szCs w:val="18"/>
        </w:rPr>
        <w:t>Wickam</w:t>
      </w:r>
      <w:proofErr w:type="spellEnd"/>
      <w:r w:rsidRPr="00433FC0">
        <w:rPr>
          <w:sz w:val="18"/>
          <w:szCs w:val="18"/>
        </w:rPr>
        <w:t xml:space="preserve">, </w:t>
      </w:r>
      <w:r w:rsidRPr="00433FC0">
        <w:rPr>
          <w:i/>
          <w:sz w:val="18"/>
          <w:szCs w:val="18"/>
        </w:rPr>
        <w:t>Foucault and Law</w:t>
      </w:r>
      <w:r w:rsidRPr="00433FC0">
        <w:rPr>
          <w:sz w:val="18"/>
          <w:szCs w:val="18"/>
        </w:rPr>
        <w:t xml:space="preserve">, </w:t>
      </w:r>
      <w:proofErr w:type="spellStart"/>
      <w:r w:rsidRPr="00433FC0">
        <w:rPr>
          <w:i/>
          <w:sz w:val="18"/>
          <w:szCs w:val="18"/>
        </w:rPr>
        <w:t>Towards</w:t>
      </w:r>
      <w:proofErr w:type="spellEnd"/>
      <w:r w:rsidRPr="00433FC0">
        <w:rPr>
          <w:i/>
          <w:sz w:val="18"/>
          <w:szCs w:val="18"/>
        </w:rPr>
        <w:t xml:space="preserve"> a </w:t>
      </w:r>
      <w:proofErr w:type="spellStart"/>
      <w:r w:rsidRPr="00433FC0">
        <w:rPr>
          <w:i/>
          <w:sz w:val="18"/>
          <w:szCs w:val="18"/>
        </w:rPr>
        <w:t>Sociology</w:t>
      </w:r>
      <w:proofErr w:type="spellEnd"/>
      <w:r w:rsidRPr="00433FC0">
        <w:rPr>
          <w:i/>
          <w:sz w:val="18"/>
          <w:szCs w:val="18"/>
        </w:rPr>
        <w:t xml:space="preserve"> of Law </w:t>
      </w:r>
      <w:proofErr w:type="spellStart"/>
      <w:r w:rsidRPr="00433FC0">
        <w:rPr>
          <w:i/>
          <w:sz w:val="18"/>
          <w:szCs w:val="18"/>
        </w:rPr>
        <w:t>as</w:t>
      </w:r>
      <w:proofErr w:type="spellEnd"/>
      <w:r w:rsidRPr="00433FC0">
        <w:rPr>
          <w:i/>
          <w:sz w:val="18"/>
          <w:szCs w:val="18"/>
        </w:rPr>
        <w:t xml:space="preserve"> </w:t>
      </w:r>
      <w:proofErr w:type="spellStart"/>
      <w:r w:rsidRPr="00433FC0">
        <w:rPr>
          <w:i/>
          <w:sz w:val="18"/>
          <w:szCs w:val="18"/>
        </w:rPr>
        <w:t>Governance</w:t>
      </w:r>
      <w:proofErr w:type="spellEnd"/>
      <w:r w:rsidRPr="00433FC0">
        <w:rPr>
          <w:sz w:val="18"/>
          <w:szCs w:val="18"/>
        </w:rPr>
        <w:t xml:space="preserve">, London, Pluto Press, 1994; D. Roberts, </w:t>
      </w:r>
      <w:r w:rsidRPr="00433FC0">
        <w:rPr>
          <w:i/>
          <w:sz w:val="18"/>
          <w:szCs w:val="18"/>
        </w:rPr>
        <w:t xml:space="preserve">Global </w:t>
      </w:r>
      <w:proofErr w:type="spellStart"/>
      <w:r w:rsidRPr="00433FC0">
        <w:rPr>
          <w:i/>
          <w:sz w:val="18"/>
          <w:szCs w:val="18"/>
        </w:rPr>
        <w:t>Governance</w:t>
      </w:r>
      <w:proofErr w:type="spellEnd"/>
      <w:r w:rsidRPr="00433FC0">
        <w:rPr>
          <w:i/>
          <w:sz w:val="18"/>
          <w:szCs w:val="18"/>
        </w:rPr>
        <w:t xml:space="preserve"> and </w:t>
      </w:r>
      <w:proofErr w:type="spellStart"/>
      <w:r w:rsidRPr="00433FC0">
        <w:rPr>
          <w:i/>
          <w:sz w:val="18"/>
          <w:szCs w:val="18"/>
        </w:rPr>
        <w:t>Biopolitics</w:t>
      </w:r>
      <w:proofErr w:type="spellEnd"/>
      <w:r w:rsidRPr="00433FC0">
        <w:rPr>
          <w:sz w:val="18"/>
          <w:szCs w:val="18"/>
        </w:rPr>
        <w:t xml:space="preserve">, London, </w:t>
      </w:r>
      <w:proofErr w:type="spellStart"/>
      <w:r w:rsidRPr="00433FC0">
        <w:rPr>
          <w:sz w:val="18"/>
          <w:szCs w:val="18"/>
        </w:rPr>
        <w:t>Zed</w:t>
      </w:r>
      <w:proofErr w:type="spellEnd"/>
      <w:r w:rsidRPr="00433FC0">
        <w:rPr>
          <w:sz w:val="18"/>
          <w:szCs w:val="18"/>
        </w:rPr>
        <w:t xml:space="preserve"> Books, 2010; G. Stoker, </w:t>
      </w:r>
      <w:proofErr w:type="spellStart"/>
      <w:r w:rsidRPr="00433FC0">
        <w:rPr>
          <w:i/>
          <w:sz w:val="18"/>
          <w:szCs w:val="18"/>
        </w:rPr>
        <w:t>Governance</w:t>
      </w:r>
      <w:proofErr w:type="spellEnd"/>
      <w:r w:rsidRPr="00433FC0">
        <w:rPr>
          <w:i/>
          <w:sz w:val="18"/>
          <w:szCs w:val="18"/>
        </w:rPr>
        <w:t xml:space="preserve"> </w:t>
      </w:r>
      <w:proofErr w:type="spellStart"/>
      <w:r w:rsidRPr="00433FC0">
        <w:rPr>
          <w:i/>
          <w:sz w:val="18"/>
          <w:szCs w:val="18"/>
        </w:rPr>
        <w:t>as</w:t>
      </w:r>
      <w:proofErr w:type="spellEnd"/>
      <w:r w:rsidRPr="00433FC0">
        <w:rPr>
          <w:i/>
          <w:sz w:val="18"/>
          <w:szCs w:val="18"/>
        </w:rPr>
        <w:t xml:space="preserve"> Theory</w:t>
      </w:r>
      <w:r w:rsidRPr="00433FC0">
        <w:rPr>
          <w:sz w:val="18"/>
          <w:szCs w:val="18"/>
        </w:rPr>
        <w:t xml:space="preserve">: </w:t>
      </w:r>
      <w:proofErr w:type="spellStart"/>
      <w:r w:rsidRPr="00433FC0">
        <w:rPr>
          <w:i/>
          <w:sz w:val="18"/>
          <w:szCs w:val="18"/>
        </w:rPr>
        <w:t>Five</w:t>
      </w:r>
      <w:proofErr w:type="spellEnd"/>
      <w:r w:rsidRPr="00433FC0">
        <w:rPr>
          <w:i/>
          <w:sz w:val="18"/>
          <w:szCs w:val="18"/>
        </w:rPr>
        <w:t xml:space="preserve"> </w:t>
      </w:r>
      <w:proofErr w:type="spellStart"/>
      <w:r w:rsidRPr="00433FC0">
        <w:rPr>
          <w:i/>
          <w:sz w:val="18"/>
          <w:szCs w:val="18"/>
        </w:rPr>
        <w:t>Propositions</w:t>
      </w:r>
      <w:proofErr w:type="spellEnd"/>
      <w:r w:rsidRPr="00433FC0">
        <w:rPr>
          <w:sz w:val="18"/>
          <w:szCs w:val="18"/>
        </w:rPr>
        <w:t xml:space="preserve">, in «International Social Science Journal», 1998, vol. 50, n. 155, pp. 17-28; N. </w:t>
      </w:r>
      <w:proofErr w:type="spellStart"/>
      <w:r w:rsidRPr="00433FC0">
        <w:rPr>
          <w:sz w:val="18"/>
          <w:szCs w:val="18"/>
        </w:rPr>
        <w:t>Vaughan</w:t>
      </w:r>
      <w:proofErr w:type="spellEnd"/>
      <w:r w:rsidRPr="00433FC0">
        <w:rPr>
          <w:sz w:val="18"/>
          <w:szCs w:val="18"/>
        </w:rPr>
        <w:t xml:space="preserve">-Williams, </w:t>
      </w:r>
      <w:r w:rsidRPr="00433FC0">
        <w:rPr>
          <w:i/>
          <w:sz w:val="18"/>
          <w:szCs w:val="18"/>
        </w:rPr>
        <w:t xml:space="preserve">Border </w:t>
      </w:r>
      <w:proofErr w:type="spellStart"/>
      <w:r w:rsidRPr="00433FC0">
        <w:rPr>
          <w:i/>
          <w:sz w:val="18"/>
          <w:szCs w:val="18"/>
        </w:rPr>
        <w:t>Politics</w:t>
      </w:r>
      <w:proofErr w:type="spellEnd"/>
      <w:r w:rsidRPr="00433FC0">
        <w:rPr>
          <w:sz w:val="18"/>
          <w:szCs w:val="18"/>
        </w:rPr>
        <w:t xml:space="preserve">, </w:t>
      </w:r>
      <w:r w:rsidRPr="00433FC0">
        <w:rPr>
          <w:i/>
          <w:sz w:val="18"/>
          <w:szCs w:val="18"/>
        </w:rPr>
        <w:t>the Limits of Sovereign Power</w:t>
      </w:r>
      <w:r w:rsidRPr="00433FC0">
        <w:rPr>
          <w:sz w:val="18"/>
          <w:szCs w:val="18"/>
        </w:rPr>
        <w:t xml:space="preserve">, </w:t>
      </w:r>
      <w:proofErr w:type="spellStart"/>
      <w:r w:rsidRPr="00433FC0">
        <w:rPr>
          <w:sz w:val="18"/>
          <w:szCs w:val="18"/>
        </w:rPr>
        <w:t>Edinburgh</w:t>
      </w:r>
      <w:proofErr w:type="spellEnd"/>
      <w:r w:rsidRPr="00433FC0">
        <w:rPr>
          <w:sz w:val="18"/>
          <w:szCs w:val="18"/>
        </w:rPr>
        <w:t xml:space="preserve">, </w:t>
      </w:r>
      <w:proofErr w:type="spellStart"/>
      <w:r w:rsidRPr="00433FC0">
        <w:rPr>
          <w:sz w:val="18"/>
          <w:szCs w:val="18"/>
        </w:rPr>
        <w:t>Edinburgh</w:t>
      </w:r>
      <w:proofErr w:type="spellEnd"/>
      <w:r w:rsidRPr="00433FC0">
        <w:rPr>
          <w:sz w:val="18"/>
          <w:szCs w:val="18"/>
        </w:rPr>
        <w:t xml:space="preserve"> </w:t>
      </w:r>
      <w:proofErr w:type="spellStart"/>
      <w:r w:rsidRPr="00433FC0">
        <w:rPr>
          <w:sz w:val="18"/>
          <w:szCs w:val="18"/>
        </w:rPr>
        <w:t>University</w:t>
      </w:r>
      <w:proofErr w:type="spellEnd"/>
      <w:r w:rsidRPr="00433FC0">
        <w:rPr>
          <w:sz w:val="18"/>
          <w:szCs w:val="18"/>
        </w:rPr>
        <w:t xml:space="preserve"> Press, 2009. Ma, soprattutto, S. </w:t>
      </w:r>
      <w:proofErr w:type="spellStart"/>
      <w:r w:rsidRPr="00433FC0">
        <w:rPr>
          <w:sz w:val="18"/>
          <w:szCs w:val="18"/>
        </w:rPr>
        <w:t>Chignola</w:t>
      </w:r>
      <w:proofErr w:type="spellEnd"/>
      <w:r w:rsidRPr="00433FC0">
        <w:rPr>
          <w:sz w:val="18"/>
          <w:szCs w:val="18"/>
        </w:rPr>
        <w:t xml:space="preserve">, </w:t>
      </w:r>
      <w:r w:rsidRPr="00433FC0">
        <w:rPr>
          <w:i/>
          <w:sz w:val="18"/>
          <w:szCs w:val="18"/>
        </w:rPr>
        <w:t>In the Shadow of the State</w:t>
      </w:r>
      <w:r w:rsidRPr="00433FC0">
        <w:rPr>
          <w:sz w:val="18"/>
          <w:szCs w:val="18"/>
        </w:rPr>
        <w:t xml:space="preserve">, in </w:t>
      </w:r>
      <w:proofErr w:type="spellStart"/>
      <w:r w:rsidRPr="00433FC0">
        <w:rPr>
          <w:i/>
          <w:sz w:val="18"/>
          <w:szCs w:val="18"/>
        </w:rPr>
        <w:t>Governance</w:t>
      </w:r>
      <w:proofErr w:type="spellEnd"/>
      <w:r w:rsidRPr="00433FC0">
        <w:rPr>
          <w:sz w:val="18"/>
          <w:szCs w:val="18"/>
        </w:rPr>
        <w:t xml:space="preserve">: </w:t>
      </w:r>
      <w:r w:rsidRPr="00433FC0">
        <w:rPr>
          <w:i/>
          <w:sz w:val="18"/>
          <w:szCs w:val="18"/>
        </w:rPr>
        <w:t xml:space="preserve">Oltre lo </w:t>
      </w:r>
      <w:proofErr w:type="gramStart"/>
      <w:r w:rsidRPr="00433FC0">
        <w:rPr>
          <w:i/>
          <w:sz w:val="18"/>
          <w:szCs w:val="18"/>
        </w:rPr>
        <w:t>Stato?</w:t>
      </w:r>
      <w:r w:rsidRPr="00433FC0">
        <w:rPr>
          <w:sz w:val="18"/>
          <w:szCs w:val="18"/>
        </w:rPr>
        <w:t>,</w:t>
      </w:r>
      <w:proofErr w:type="gramEnd"/>
      <w:r w:rsidRPr="00433FC0">
        <w:rPr>
          <w:sz w:val="18"/>
          <w:szCs w:val="18"/>
        </w:rPr>
        <w:t xml:space="preserve"> a cura di G. Fiaschi, Soveria Mannelli, </w:t>
      </w:r>
      <w:proofErr w:type="spellStart"/>
      <w:r w:rsidRPr="00433FC0">
        <w:rPr>
          <w:sz w:val="18"/>
          <w:szCs w:val="18"/>
        </w:rPr>
        <w:t>Rubettino</w:t>
      </w:r>
      <w:proofErr w:type="spellEnd"/>
      <w:r w:rsidRPr="00433FC0">
        <w:rPr>
          <w:sz w:val="18"/>
          <w:szCs w:val="18"/>
        </w:rPr>
        <w:t xml:space="preserve">, 2008, pp. 117-141. </w:t>
      </w:r>
    </w:p>
  </w:footnote>
  <w:footnote w:id="58">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H. </w:t>
      </w:r>
      <w:proofErr w:type="spellStart"/>
      <w:r w:rsidRPr="00433FC0">
        <w:rPr>
          <w:sz w:val="18"/>
          <w:szCs w:val="18"/>
        </w:rPr>
        <w:t>Marcuse</w:t>
      </w:r>
      <w:proofErr w:type="spellEnd"/>
      <w:r w:rsidRPr="00433FC0">
        <w:rPr>
          <w:sz w:val="18"/>
          <w:szCs w:val="18"/>
        </w:rPr>
        <w:t xml:space="preserve">, </w:t>
      </w:r>
      <w:r w:rsidRPr="00433FC0">
        <w:rPr>
          <w:i/>
          <w:sz w:val="18"/>
          <w:szCs w:val="18"/>
        </w:rPr>
        <w:t>L’uomo a una dimensione</w:t>
      </w:r>
      <w:r w:rsidRPr="00433FC0">
        <w:rPr>
          <w:sz w:val="18"/>
          <w:szCs w:val="18"/>
        </w:rPr>
        <w:t xml:space="preserve">, Torino, Einaudi, 1999, pp. 36-61. </w:t>
      </w:r>
    </w:p>
  </w:footnote>
  <w:footnote w:id="59">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M. Berger, </w:t>
      </w:r>
      <w:r w:rsidRPr="00433FC0">
        <w:rPr>
          <w:i/>
          <w:sz w:val="18"/>
          <w:szCs w:val="18"/>
        </w:rPr>
        <w:t xml:space="preserve">The End of the Third </w:t>
      </w:r>
      <w:proofErr w:type="gramStart"/>
      <w:r w:rsidRPr="00433FC0">
        <w:rPr>
          <w:i/>
          <w:sz w:val="18"/>
          <w:szCs w:val="18"/>
        </w:rPr>
        <w:t>World?</w:t>
      </w:r>
      <w:r w:rsidRPr="00433FC0">
        <w:rPr>
          <w:sz w:val="18"/>
          <w:szCs w:val="18"/>
        </w:rPr>
        <w:t>,</w:t>
      </w:r>
      <w:proofErr w:type="gramEnd"/>
      <w:r w:rsidRPr="00433FC0">
        <w:rPr>
          <w:sz w:val="18"/>
          <w:szCs w:val="18"/>
        </w:rPr>
        <w:t xml:space="preserve"> in «Third World </w:t>
      </w:r>
      <w:proofErr w:type="spellStart"/>
      <w:r w:rsidRPr="00433FC0">
        <w:rPr>
          <w:sz w:val="18"/>
          <w:szCs w:val="18"/>
        </w:rPr>
        <w:t>Quarterly</w:t>
      </w:r>
      <w:proofErr w:type="spellEnd"/>
      <w:r w:rsidRPr="00433FC0">
        <w:rPr>
          <w:sz w:val="18"/>
          <w:szCs w:val="18"/>
        </w:rPr>
        <w:t xml:space="preserve"> Review», 1994, vol. 15, n. 2, pp. 257-274. </w:t>
      </w:r>
    </w:p>
  </w:footnote>
  <w:footnote w:id="60">
    <w:p w:rsidR="00545B3D" w:rsidRPr="00433FC0" w:rsidRDefault="004632E2" w:rsidP="00433FC0">
      <w:pPr>
        <w:pStyle w:val="footnotedescription"/>
        <w:spacing w:line="240" w:lineRule="auto"/>
        <w:ind w:firstLine="0"/>
        <w:jc w:val="both"/>
        <w:rPr>
          <w:sz w:val="18"/>
          <w:szCs w:val="18"/>
        </w:rPr>
      </w:pPr>
      <w:r w:rsidRPr="00433FC0">
        <w:rPr>
          <w:rStyle w:val="footnotemark"/>
          <w:sz w:val="18"/>
          <w:szCs w:val="18"/>
        </w:rPr>
        <w:footnoteRef/>
      </w:r>
      <w:r w:rsidRPr="00433FC0">
        <w:rPr>
          <w:sz w:val="18"/>
          <w:szCs w:val="18"/>
        </w:rPr>
        <w:t xml:space="preserve"> Per l’immagine della politica come </w:t>
      </w:r>
      <w:proofErr w:type="spellStart"/>
      <w:r w:rsidRPr="00433FC0">
        <w:rPr>
          <w:i/>
          <w:sz w:val="18"/>
          <w:szCs w:val="18"/>
        </w:rPr>
        <w:t>gubernatio</w:t>
      </w:r>
      <w:proofErr w:type="spellEnd"/>
      <w:r w:rsidRPr="00433FC0">
        <w:rPr>
          <w:i/>
          <w:sz w:val="18"/>
          <w:szCs w:val="18"/>
        </w:rPr>
        <w:t xml:space="preserve"> </w:t>
      </w:r>
      <w:proofErr w:type="spellStart"/>
      <w:r w:rsidRPr="00433FC0">
        <w:rPr>
          <w:i/>
          <w:sz w:val="18"/>
          <w:szCs w:val="18"/>
        </w:rPr>
        <w:t>navis</w:t>
      </w:r>
      <w:proofErr w:type="spellEnd"/>
      <w:r w:rsidRPr="00433FC0">
        <w:rPr>
          <w:i/>
          <w:sz w:val="18"/>
          <w:szCs w:val="18"/>
        </w:rPr>
        <w:t xml:space="preserve"> rei </w:t>
      </w:r>
      <w:proofErr w:type="spellStart"/>
      <w:r w:rsidRPr="00433FC0">
        <w:rPr>
          <w:i/>
          <w:sz w:val="18"/>
          <w:szCs w:val="18"/>
        </w:rPr>
        <w:t>publicae</w:t>
      </w:r>
      <w:proofErr w:type="spellEnd"/>
      <w:r w:rsidRPr="00433FC0">
        <w:rPr>
          <w:sz w:val="18"/>
          <w:szCs w:val="18"/>
        </w:rPr>
        <w:t xml:space="preserve">, </w:t>
      </w:r>
      <w:proofErr w:type="spellStart"/>
      <w:r w:rsidRPr="00433FC0">
        <w:rPr>
          <w:sz w:val="18"/>
          <w:szCs w:val="18"/>
        </w:rPr>
        <w:t>cfr</w:t>
      </w:r>
      <w:proofErr w:type="spellEnd"/>
      <w:r w:rsidRPr="00433FC0">
        <w:rPr>
          <w:sz w:val="18"/>
          <w:szCs w:val="18"/>
        </w:rPr>
        <w:t xml:space="preserve"> H. </w:t>
      </w:r>
      <w:proofErr w:type="spellStart"/>
      <w:r w:rsidRPr="00433FC0">
        <w:rPr>
          <w:sz w:val="18"/>
          <w:szCs w:val="18"/>
        </w:rPr>
        <w:t>Blumenberg</w:t>
      </w:r>
      <w:proofErr w:type="spellEnd"/>
      <w:r w:rsidRPr="00433FC0">
        <w:rPr>
          <w:sz w:val="18"/>
          <w:szCs w:val="18"/>
        </w:rPr>
        <w:t xml:space="preserve">, </w:t>
      </w:r>
      <w:r w:rsidRPr="00433FC0">
        <w:rPr>
          <w:i/>
          <w:sz w:val="18"/>
          <w:szCs w:val="18"/>
        </w:rPr>
        <w:t>Naufragio con spettatore</w:t>
      </w:r>
      <w:r w:rsidRPr="00433FC0">
        <w:rPr>
          <w:sz w:val="18"/>
          <w:szCs w:val="18"/>
        </w:rPr>
        <w:t xml:space="preserve">, Bologna, Il Mulino, 1985. Ma si veda anche F. Rigotti, </w:t>
      </w:r>
      <w:r w:rsidRPr="00433FC0">
        <w:rPr>
          <w:i/>
          <w:sz w:val="18"/>
          <w:szCs w:val="18"/>
        </w:rPr>
        <w:t>Metafore della politica</w:t>
      </w:r>
      <w:r w:rsidRPr="00433FC0">
        <w:rPr>
          <w:sz w:val="18"/>
          <w:szCs w:val="18"/>
        </w:rPr>
        <w:t xml:space="preserve">, Bologna, Il Mulino, 1989, pp. 41-60. </w:t>
      </w:r>
    </w:p>
  </w:footnote>
  <w:footnote w:id="61">
    <w:p w:rsidR="00545B3D" w:rsidRPr="00433FC0" w:rsidRDefault="004632E2" w:rsidP="00433FC0">
      <w:pPr>
        <w:pStyle w:val="footnotedescription"/>
        <w:spacing w:line="240" w:lineRule="auto"/>
        <w:ind w:firstLine="0"/>
        <w:rPr>
          <w:sz w:val="18"/>
          <w:szCs w:val="18"/>
        </w:rPr>
      </w:pPr>
      <w:r w:rsidRPr="00433FC0">
        <w:rPr>
          <w:rStyle w:val="footnotemark"/>
          <w:sz w:val="18"/>
          <w:szCs w:val="18"/>
        </w:rPr>
        <w:footnoteRef/>
      </w:r>
      <w:r w:rsidRPr="00433FC0">
        <w:rPr>
          <w:sz w:val="18"/>
          <w:szCs w:val="18"/>
        </w:rPr>
        <w:t xml:space="preserve"> M. </w:t>
      </w:r>
      <w:proofErr w:type="spellStart"/>
      <w:r w:rsidRPr="00433FC0">
        <w:rPr>
          <w:sz w:val="18"/>
          <w:szCs w:val="18"/>
        </w:rPr>
        <w:t>Castells</w:t>
      </w:r>
      <w:proofErr w:type="spellEnd"/>
      <w:r w:rsidRPr="00433FC0">
        <w:rPr>
          <w:sz w:val="18"/>
          <w:szCs w:val="18"/>
        </w:rPr>
        <w:t xml:space="preserve">, </w:t>
      </w:r>
      <w:r w:rsidRPr="00433FC0">
        <w:rPr>
          <w:i/>
          <w:sz w:val="18"/>
          <w:szCs w:val="18"/>
        </w:rPr>
        <w:t>Volgere di millennio</w:t>
      </w:r>
      <w:r w:rsidRPr="00433FC0">
        <w:rPr>
          <w:sz w:val="18"/>
          <w:szCs w:val="18"/>
        </w:rPr>
        <w:t xml:space="preserve">, Milano, Egea – Università Bocconi, 2008, p. 418. </w:t>
      </w:r>
    </w:p>
  </w:footnote>
  <w:footnote w:id="62">
    <w:p w:rsidR="00545B3D" w:rsidRDefault="004632E2" w:rsidP="00433FC0">
      <w:pPr>
        <w:pStyle w:val="footnotedescription"/>
        <w:spacing w:line="240" w:lineRule="auto"/>
        <w:ind w:firstLine="0"/>
      </w:pPr>
      <w:r w:rsidRPr="00433FC0">
        <w:rPr>
          <w:rStyle w:val="footnotemark"/>
          <w:sz w:val="18"/>
          <w:szCs w:val="18"/>
        </w:rPr>
        <w:footnoteRef/>
      </w:r>
      <w:r w:rsidRPr="00433FC0">
        <w:rPr>
          <w:sz w:val="18"/>
          <w:szCs w:val="18"/>
        </w:rPr>
        <w:t xml:space="preserve"> S. Mezzadra – B. </w:t>
      </w:r>
      <w:proofErr w:type="spellStart"/>
      <w:r w:rsidRPr="00433FC0">
        <w:rPr>
          <w:sz w:val="18"/>
          <w:szCs w:val="18"/>
        </w:rPr>
        <w:t>Nielson</w:t>
      </w:r>
      <w:proofErr w:type="spellEnd"/>
      <w:r w:rsidRPr="00433FC0">
        <w:rPr>
          <w:sz w:val="18"/>
          <w:szCs w:val="18"/>
        </w:rPr>
        <w:t xml:space="preserve">, </w:t>
      </w:r>
      <w:r w:rsidRPr="00433FC0">
        <w:rPr>
          <w:i/>
          <w:sz w:val="18"/>
          <w:szCs w:val="18"/>
        </w:rPr>
        <w:t>Confini e frontiere</w:t>
      </w:r>
      <w:r w:rsidRPr="00433FC0">
        <w:rPr>
          <w:sz w:val="18"/>
          <w:szCs w:val="18"/>
        </w:rPr>
        <w:t xml:space="preserve">. </w:t>
      </w:r>
      <w:r w:rsidRPr="00433FC0">
        <w:rPr>
          <w:i/>
          <w:sz w:val="18"/>
          <w:szCs w:val="18"/>
        </w:rPr>
        <w:t>La moltiplicazione del lavoro nel mondo globale</w:t>
      </w:r>
      <w:r w:rsidRPr="00433FC0">
        <w:rPr>
          <w:sz w:val="18"/>
          <w:szCs w:val="18"/>
        </w:rPr>
        <w:t>, Bologna, Il Mulino, 2014, pp. 266-268.</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1026" w:rsidRDefault="000D1026">
    <w:pPr>
      <w:spacing w:after="160" w:line="259" w:lineRule="auto"/>
      <w:ind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5B3D" w:rsidRDefault="00545B3D">
    <w:pPr>
      <w:spacing w:after="160" w:line="259" w:lineRule="auto"/>
      <w:ind w:right="0" w:firstLine="0"/>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08"/>
  <w:hyphenationZone w:val="283"/>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B3D"/>
    <w:rsid w:val="000D1026"/>
    <w:rsid w:val="001702D4"/>
    <w:rsid w:val="00433FC0"/>
    <w:rsid w:val="004632E2"/>
    <w:rsid w:val="00545B3D"/>
    <w:rsid w:val="0068780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0151D"/>
  <w15:docId w15:val="{8C0FF17F-A7AF-4351-BA20-E4B1F9B89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pPr>
      <w:spacing w:after="28" w:line="225" w:lineRule="auto"/>
      <w:ind w:right="50" w:firstLine="330"/>
      <w:jc w:val="both"/>
    </w:pPr>
    <w:rPr>
      <w:rFonts w:ascii="Times New Roman" w:eastAsia="Times New Roman" w:hAnsi="Times New Roman" w:cs="Times New Roman"/>
      <w:color w:val="181717"/>
      <w:sz w:val="20"/>
    </w:rPr>
  </w:style>
  <w:style w:type="paragraph" w:styleId="Titolo1">
    <w:name w:val="heading 1"/>
    <w:next w:val="Normale"/>
    <w:link w:val="Titolo1Carattere"/>
    <w:uiPriority w:val="9"/>
    <w:qFormat/>
    <w:pPr>
      <w:keepNext/>
      <w:keepLines/>
      <w:spacing w:after="90"/>
      <w:outlineLvl w:val="0"/>
    </w:pPr>
    <w:rPr>
      <w:rFonts w:ascii="Calibri" w:eastAsia="Calibri" w:hAnsi="Calibri" w:cs="Calibri"/>
      <w:b/>
      <w:color w:val="000000"/>
      <w:sz w:val="30"/>
    </w:rPr>
  </w:style>
  <w:style w:type="paragraph" w:styleId="Titolo2">
    <w:name w:val="heading 2"/>
    <w:next w:val="Normale"/>
    <w:link w:val="Titolo2Carattere"/>
    <w:uiPriority w:val="9"/>
    <w:unhideWhenUsed/>
    <w:qFormat/>
    <w:pPr>
      <w:keepNext/>
      <w:keepLines/>
      <w:spacing w:after="98"/>
      <w:ind w:left="10" w:hanging="10"/>
      <w:outlineLvl w:val="1"/>
    </w:pPr>
    <w:rPr>
      <w:rFonts w:ascii="Calibri" w:eastAsia="Calibri" w:hAnsi="Calibri" w:cs="Calibri"/>
      <w:color w:val="181717"/>
      <w:sz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Calibri" w:eastAsia="Calibri" w:hAnsi="Calibri" w:cs="Calibri"/>
      <w:color w:val="181717"/>
      <w:sz w:val="26"/>
    </w:rPr>
  </w:style>
  <w:style w:type="character" w:customStyle="1" w:styleId="Titolo1Carattere">
    <w:name w:val="Titolo 1 Carattere"/>
    <w:link w:val="Titolo1"/>
    <w:rPr>
      <w:rFonts w:ascii="Calibri" w:eastAsia="Calibri" w:hAnsi="Calibri" w:cs="Calibri"/>
      <w:b/>
      <w:color w:val="000000"/>
      <w:sz w:val="30"/>
    </w:rPr>
  </w:style>
  <w:style w:type="paragraph" w:customStyle="1" w:styleId="footnotedescription">
    <w:name w:val="footnote description"/>
    <w:next w:val="Normale"/>
    <w:link w:val="footnotedescriptionChar"/>
    <w:hidden/>
    <w:pPr>
      <w:spacing w:after="0"/>
      <w:ind w:firstLine="340"/>
    </w:pPr>
    <w:rPr>
      <w:rFonts w:ascii="Times New Roman" w:eastAsia="Times New Roman" w:hAnsi="Times New Roman" w:cs="Times New Roman"/>
      <w:color w:val="181717"/>
      <w:sz w:val="17"/>
    </w:rPr>
  </w:style>
  <w:style w:type="character" w:customStyle="1" w:styleId="footnotedescriptionChar">
    <w:name w:val="footnote description Char"/>
    <w:link w:val="footnotedescription"/>
    <w:rPr>
      <w:rFonts w:ascii="Times New Roman" w:eastAsia="Times New Roman" w:hAnsi="Times New Roman" w:cs="Times New Roman"/>
      <w:color w:val="181717"/>
      <w:sz w:val="17"/>
    </w:rPr>
  </w:style>
  <w:style w:type="character" w:customStyle="1" w:styleId="footnotemark">
    <w:name w:val="footnote mark"/>
    <w:hidden/>
    <w:rPr>
      <w:rFonts w:ascii="Times New Roman" w:eastAsia="Times New Roman" w:hAnsi="Times New Roman" w:cs="Times New Roman"/>
      <w:color w:val="181717"/>
      <w:sz w:val="15"/>
      <w:vertAlign w:val="superscript"/>
    </w:rPr>
  </w:style>
  <w:style w:type="paragraph" w:styleId="Intestazione">
    <w:name w:val="header"/>
    <w:basedOn w:val="Normale"/>
    <w:link w:val="IntestazioneCarattere"/>
    <w:uiPriority w:val="99"/>
    <w:semiHidden/>
    <w:unhideWhenUsed/>
    <w:rsid w:val="00433FC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433FC0"/>
    <w:rPr>
      <w:rFonts w:ascii="Times New Roman" w:eastAsia="Times New Roman" w:hAnsi="Times New Roman" w:cs="Times New Roman"/>
      <w:color w:val="181717"/>
      <w:sz w:val="20"/>
    </w:rPr>
  </w:style>
  <w:style w:type="paragraph" w:styleId="Pidipagina">
    <w:name w:val="footer"/>
    <w:basedOn w:val="Normale"/>
    <w:link w:val="PidipaginaCarattere"/>
    <w:uiPriority w:val="99"/>
    <w:semiHidden/>
    <w:unhideWhenUsed/>
    <w:rsid w:val="00433FC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433FC0"/>
    <w:rPr>
      <w:rFonts w:ascii="Times New Roman" w:eastAsia="Times New Roman" w:hAnsi="Times New Roman" w:cs="Times New Roman"/>
      <w:color w:val="181717"/>
      <w:sz w:val="20"/>
    </w:rPr>
  </w:style>
  <w:style w:type="paragraph" w:styleId="Testonotaapidipagina">
    <w:name w:val="footnote text"/>
    <w:basedOn w:val="Normale"/>
    <w:link w:val="TestonotaapidipaginaCarattere"/>
    <w:uiPriority w:val="99"/>
    <w:semiHidden/>
    <w:unhideWhenUsed/>
    <w:rsid w:val="00433FC0"/>
    <w:pPr>
      <w:spacing w:after="0" w:line="240" w:lineRule="auto"/>
    </w:pPr>
    <w:rPr>
      <w:szCs w:val="20"/>
    </w:rPr>
  </w:style>
  <w:style w:type="character" w:customStyle="1" w:styleId="TestonotaapidipaginaCarattere">
    <w:name w:val="Testo nota a piè di pagina Carattere"/>
    <w:basedOn w:val="Carpredefinitoparagrafo"/>
    <w:link w:val="Testonotaapidipagina"/>
    <w:uiPriority w:val="99"/>
    <w:semiHidden/>
    <w:rsid w:val="00433FC0"/>
    <w:rPr>
      <w:rFonts w:ascii="Times New Roman" w:eastAsia="Times New Roman" w:hAnsi="Times New Roman" w:cs="Times New Roman"/>
      <w:color w:val="181717"/>
      <w:sz w:val="20"/>
      <w:szCs w:val="20"/>
    </w:rPr>
  </w:style>
  <w:style w:type="character" w:styleId="Rimandonotaapidipagina">
    <w:name w:val="footnote reference"/>
    <w:basedOn w:val="Carpredefinitoparagrafo"/>
    <w:uiPriority w:val="99"/>
    <w:semiHidden/>
    <w:unhideWhenUsed/>
    <w:rsid w:val="00433FC0"/>
    <w:rPr>
      <w:vertAlign w:val="superscript"/>
    </w:rPr>
  </w:style>
  <w:style w:type="character" w:styleId="Collegamentoipertestuale">
    <w:name w:val="Hyperlink"/>
    <w:basedOn w:val="Carpredefinitoparagrafo"/>
    <w:uiPriority w:val="99"/>
    <w:unhideWhenUsed/>
    <w:rsid w:val="000D1026"/>
    <w:rPr>
      <w:color w:val="0563C1" w:themeColor="hyperlink"/>
      <w:u w:val="single"/>
    </w:rPr>
  </w:style>
  <w:style w:type="character" w:styleId="Menzionenonrisolta">
    <w:name w:val="Unresolved Mention"/>
    <w:basedOn w:val="Carpredefinitoparagrafo"/>
    <w:uiPriority w:val="99"/>
    <w:semiHidden/>
    <w:unhideWhenUsed/>
    <w:rsid w:val="000D10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rivisteweb.it/doi/10.1416/91389" TargetMode="Externa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3AC278-AF34-48A6-A6A1-44ABB014B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6811</Words>
  <Characters>38827</Characters>
  <Application>Microsoft Office Word</Application>
  <DocSecurity>0</DocSecurity>
  <Lines>323</Lines>
  <Paragraphs>91</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45547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Rossi</dc:creator>
  <cp:keywords/>
  <cp:lastModifiedBy>Federica Rossi</cp:lastModifiedBy>
  <cp:revision>3</cp:revision>
  <dcterms:created xsi:type="dcterms:W3CDTF">2021-11-16T15:15:00Z</dcterms:created>
  <dcterms:modified xsi:type="dcterms:W3CDTF">2021-11-16T15:45:00Z</dcterms:modified>
</cp:coreProperties>
</file>